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3AC6" w14:textId="77777777" w:rsidR="00964D79" w:rsidRDefault="00964D79" w:rsidP="007A0C73">
      <w:pPr>
        <w:pStyle w:val="Heading1"/>
        <w:spacing w:before="0" w:line="240" w:lineRule="auto"/>
        <w:jc w:val="left"/>
      </w:pPr>
      <w:bookmarkStart w:id="0" w:name="_Hlk110413819"/>
      <w:bookmarkEnd w:id="0"/>
    </w:p>
    <w:p w14:paraId="2E0F26B7" w14:textId="734E6573" w:rsidR="003B7246" w:rsidRDefault="003B7246" w:rsidP="007A0C73">
      <w:pPr>
        <w:pStyle w:val="Heading1"/>
        <w:spacing w:before="240" w:line="240" w:lineRule="auto"/>
      </w:pPr>
      <w:bookmarkStart w:id="1" w:name="_Hlk62117278"/>
      <w:r>
        <w:t>Tips for Error-Free FPDS Reporting – PSC</w:t>
      </w:r>
      <w:r w:rsidR="000B2FA4">
        <w:br/>
      </w:r>
    </w:p>
    <w:p w14:paraId="403FB706" w14:textId="77777777" w:rsidR="003B7246" w:rsidRDefault="003B7246" w:rsidP="007A0C73">
      <w:pPr>
        <w:pStyle w:val="Heading1"/>
        <w:spacing w:line="240" w:lineRule="auto"/>
      </w:pPr>
      <w:r>
        <w:t>Product Service Code (PSC)</w:t>
      </w:r>
    </w:p>
    <w:p w14:paraId="675D370C" w14:textId="77777777" w:rsidR="003B7246" w:rsidRPr="002516B1" w:rsidRDefault="003B7246" w:rsidP="007A0C73">
      <w:pPr>
        <w:spacing w:before="120" w:line="240" w:lineRule="auto"/>
        <w:jc w:val="both"/>
        <w:rPr>
          <w:rFonts w:cs="Arial"/>
          <w:szCs w:val="24"/>
        </w:rPr>
      </w:pPr>
      <w:r w:rsidRPr="002516B1">
        <w:rPr>
          <w:rFonts w:cs="Arial"/>
          <w:szCs w:val="24"/>
        </w:rPr>
        <w:t xml:space="preserve">Congress and other government agencies use the Federal Procurement Data System (FPDS) data to monitor NIH contracting spending/achievements throughout the year.  </w:t>
      </w:r>
    </w:p>
    <w:p w14:paraId="7E15A757" w14:textId="77777777" w:rsidR="003B7246" w:rsidRPr="002516B1" w:rsidRDefault="003B7246" w:rsidP="007A0C73">
      <w:pPr>
        <w:spacing w:line="240" w:lineRule="auto"/>
        <w:rPr>
          <w:rFonts w:cs="Arial"/>
          <w:szCs w:val="24"/>
        </w:rPr>
      </w:pPr>
      <w:r w:rsidRPr="002516B1">
        <w:rPr>
          <w:rFonts w:cs="Arial"/>
          <w:szCs w:val="24"/>
        </w:rPr>
        <w:t>FAR 4.604(b)(1) states that the responsibility for completion and the accuracy of the individual contract action report resides with the contracting officer who awarded the contract actions.</w:t>
      </w:r>
    </w:p>
    <w:p w14:paraId="1FC1A899" w14:textId="77777777" w:rsidR="003B7246" w:rsidRPr="002516B1" w:rsidRDefault="003B7246" w:rsidP="007A0C73">
      <w:pPr>
        <w:pStyle w:val="Heading1"/>
        <w:spacing w:line="240" w:lineRule="auto"/>
        <w:rPr>
          <w:rFonts w:cs="Arial"/>
        </w:rPr>
      </w:pPr>
      <w:r w:rsidRPr="002516B1">
        <w:rPr>
          <w:rFonts w:cs="Arial"/>
        </w:rPr>
        <w:t>FPDS Data Dictionary Definition - Products/Service Code</w:t>
      </w:r>
    </w:p>
    <w:p w14:paraId="636DAFF3" w14:textId="77777777" w:rsidR="003B7246" w:rsidRPr="002516B1" w:rsidRDefault="003B7246" w:rsidP="007A0C73">
      <w:pPr>
        <w:spacing w:before="240" w:line="240" w:lineRule="auto"/>
        <w:rPr>
          <w:rFonts w:cs="Arial"/>
          <w:szCs w:val="24"/>
        </w:rPr>
      </w:pPr>
      <w:r w:rsidRPr="002516B1">
        <w:rPr>
          <w:rFonts w:cs="Arial"/>
          <w:szCs w:val="24"/>
        </w:rPr>
        <w:t>The code that best identifies the product or service procured. Codes are defined in the Product and Service Codes Manual.</w:t>
      </w:r>
    </w:p>
    <w:p w14:paraId="0203EA3A" w14:textId="77777777" w:rsidR="003B7246" w:rsidRPr="002516B1" w:rsidRDefault="003B7246" w:rsidP="007A0C73">
      <w:pPr>
        <w:pStyle w:val="ListParagraph"/>
        <w:numPr>
          <w:ilvl w:val="0"/>
          <w:numId w:val="1"/>
        </w:numPr>
        <w:spacing w:after="160"/>
        <w:rPr>
          <w:rFonts w:cs="Arial"/>
        </w:rPr>
      </w:pPr>
      <w:r w:rsidRPr="002516B1">
        <w:rPr>
          <w:rFonts w:cs="Arial"/>
          <w:b/>
          <w:bCs/>
        </w:rPr>
        <w:t>Product and Service Code Manual</w:t>
      </w:r>
      <w:r w:rsidRPr="002516B1">
        <w:rPr>
          <w:rFonts w:cs="Arial"/>
        </w:rPr>
        <w:t xml:space="preserve"> - PSC </w:t>
      </w:r>
      <w:hyperlink r:id="rId8" w:tooltip="PSC Manual" w:history="1">
        <w:r w:rsidRPr="002516B1">
          <w:rPr>
            <w:rStyle w:val="Hyperlink"/>
            <w:rFonts w:cs="Arial"/>
          </w:rPr>
          <w:t>https://www.acquisition.gov/psc-manual</w:t>
        </w:r>
      </w:hyperlink>
      <w:r w:rsidRPr="002516B1">
        <w:rPr>
          <w:rFonts w:cs="Arial"/>
        </w:rPr>
        <w:t>.</w:t>
      </w:r>
    </w:p>
    <w:p w14:paraId="6B3D6A97" w14:textId="77777777" w:rsidR="003B7246" w:rsidRPr="002516B1" w:rsidRDefault="003B7246" w:rsidP="007A0C73">
      <w:pPr>
        <w:spacing w:line="240" w:lineRule="auto"/>
        <w:rPr>
          <w:rFonts w:cs="Arial"/>
        </w:rPr>
      </w:pPr>
      <w:r w:rsidRPr="002516B1">
        <w:rPr>
          <w:rFonts w:cs="Arial"/>
        </w:rPr>
        <w:t>Pick the code that best identifies the product or service procured. If more than one (1) code applies, then report the code that represents most of the ultimate contract value.</w:t>
      </w:r>
    </w:p>
    <w:p w14:paraId="2E2F138D" w14:textId="5522693B" w:rsidR="003B7246" w:rsidRPr="002516B1" w:rsidRDefault="003B7246" w:rsidP="007A0C73">
      <w:pPr>
        <w:spacing w:line="240" w:lineRule="auto"/>
        <w:rPr>
          <w:rFonts w:cs="Arial"/>
          <w:color w:val="5B9BD5" w:themeColor="accent1"/>
          <w:szCs w:val="24"/>
        </w:rPr>
      </w:pPr>
      <w:r w:rsidRPr="002516B1">
        <w:rPr>
          <w:rFonts w:cs="Arial"/>
          <w:szCs w:val="24"/>
        </w:rPr>
        <w:t xml:space="preserve">An incorrect entry will trigger </w:t>
      </w:r>
      <w:proofErr w:type="spellStart"/>
      <w:r w:rsidRPr="00612062">
        <w:rPr>
          <w:rFonts w:cs="Arial"/>
          <w:szCs w:val="24"/>
        </w:rPr>
        <w:t>FedDataCheck</w:t>
      </w:r>
      <w:proofErr w:type="spellEnd"/>
      <w:r w:rsidRPr="00612062">
        <w:rPr>
          <w:rFonts w:cs="Arial"/>
          <w:szCs w:val="24"/>
        </w:rPr>
        <w:t xml:space="preserve"> (</w:t>
      </w:r>
      <w:proofErr w:type="gramStart"/>
      <w:r w:rsidRPr="00612062">
        <w:rPr>
          <w:rFonts w:cs="Arial"/>
          <w:szCs w:val="24"/>
        </w:rPr>
        <w:t>FDC)  #</w:t>
      </w:r>
      <w:proofErr w:type="gramEnd"/>
      <w:r w:rsidRPr="00612062">
        <w:rPr>
          <w:rFonts w:cs="Arial"/>
          <w:szCs w:val="24"/>
        </w:rPr>
        <w:t>19, #64, or #154</w:t>
      </w:r>
      <w:r w:rsidR="007A0C73">
        <w:rPr>
          <w:rFonts w:cs="Arial"/>
          <w:szCs w:val="24"/>
        </w:rPr>
        <w:t>.</w:t>
      </w:r>
    </w:p>
    <w:p w14:paraId="5F0DD9F8" w14:textId="13FD6C8B" w:rsidR="003B7246" w:rsidRPr="002516B1" w:rsidRDefault="003B7246" w:rsidP="007A0C73">
      <w:pPr>
        <w:spacing w:line="240" w:lineRule="auto"/>
        <w:rPr>
          <w:rFonts w:cs="Arial"/>
        </w:rPr>
      </w:pPr>
      <w:r w:rsidRPr="002516B1">
        <w:rPr>
          <w:rFonts w:cs="Arial"/>
          <w:szCs w:val="24"/>
        </w:rPr>
        <w:t xml:space="preserve">In addition, the following FDC Alerts </w:t>
      </w:r>
      <w:r w:rsidRPr="00612062">
        <w:rPr>
          <w:rFonts w:cs="Arial"/>
          <w:szCs w:val="24"/>
        </w:rPr>
        <w:t xml:space="preserve">(#60, #96, #97, #98, #123, and #141) </w:t>
      </w:r>
      <w:r w:rsidRPr="002516B1">
        <w:rPr>
          <w:rFonts w:cs="Arial"/>
          <w:szCs w:val="24"/>
        </w:rPr>
        <w:t xml:space="preserve">are triggered for other FPDS field values if the </w:t>
      </w:r>
      <w:r w:rsidRPr="002516B1">
        <w:rPr>
          <w:rFonts w:cs="Arial"/>
          <w:b/>
          <w:bCs/>
          <w:szCs w:val="24"/>
        </w:rPr>
        <w:t>PSC</w:t>
      </w:r>
      <w:r w:rsidRPr="002516B1">
        <w:rPr>
          <w:rFonts w:cs="Arial"/>
          <w:szCs w:val="24"/>
        </w:rPr>
        <w:t xml:space="preserve"> is </w:t>
      </w:r>
      <w:r w:rsidRPr="00612062">
        <w:rPr>
          <w:rFonts w:cs="Arial"/>
          <w:b/>
          <w:bCs/>
          <w:szCs w:val="24"/>
        </w:rPr>
        <w:t>exempt</w:t>
      </w:r>
      <w:r w:rsidRPr="00612062">
        <w:rPr>
          <w:rFonts w:cs="Arial"/>
          <w:szCs w:val="24"/>
        </w:rPr>
        <w:t xml:space="preserve"> </w:t>
      </w:r>
      <w:r w:rsidRPr="002516B1">
        <w:rPr>
          <w:rFonts w:cs="Arial"/>
          <w:szCs w:val="24"/>
        </w:rPr>
        <w:t xml:space="preserve">or </w:t>
      </w:r>
      <w:r w:rsidRPr="00612062">
        <w:rPr>
          <w:rFonts w:cs="Arial"/>
          <w:b/>
          <w:bCs/>
          <w:szCs w:val="24"/>
        </w:rPr>
        <w:t>does not apply</w:t>
      </w:r>
      <w:r w:rsidRPr="002516B1">
        <w:rPr>
          <w:rFonts w:cs="Arial"/>
          <w:szCs w:val="24"/>
        </w:rPr>
        <w:t>.</w:t>
      </w:r>
      <w:r w:rsidR="002516B1">
        <w:rPr>
          <w:rFonts w:cs="Arial"/>
          <w:szCs w:val="24"/>
        </w:rPr>
        <w:br/>
      </w:r>
    </w:p>
    <w:p w14:paraId="316FDF74" w14:textId="77777777" w:rsidR="003B7246" w:rsidRPr="002516B1" w:rsidRDefault="003B7246" w:rsidP="007A0C73">
      <w:pPr>
        <w:spacing w:line="240" w:lineRule="auto"/>
        <w:rPr>
          <w:rFonts w:cs="Arial"/>
        </w:rPr>
      </w:pPr>
      <w:r w:rsidRPr="002516B1">
        <w:rPr>
          <w:rFonts w:cs="Arial"/>
          <w:noProof/>
        </w:rPr>
        <w:drawing>
          <wp:inline distT="0" distB="0" distL="0" distR="0" wp14:anchorId="60007469" wp14:editId="0C7ECA3F">
            <wp:extent cx="5943600" cy="2495550"/>
            <wp:effectExtent l="0" t="0" r="0" b="0"/>
            <wp:docPr id="6" name="Picture 6" descr="Decision Making Time! PRISM In-Progress – Acquisition tab - 8A – Primary Product/Service Code. If the preponderance of the buy is for Goods or Supplies, the appropriate Product/Service code will begin with a number. If the preponderance of the buy is for Services, the appropriate Product/Service code will begin with a let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ision Making Time! PRISM In-Progress – Acquisition tab - 8A – Primary Product/Service Code. If the preponderance of the buy is for Goods or Supplies, the appropriate Product/Service code will begin with a number. If the preponderance of the buy is for Services, the appropriate Product/Service code will begin with a letter.&#10;"/>
                    <pic:cNvPicPr/>
                  </pic:nvPicPr>
                  <pic:blipFill>
                    <a:blip r:embed="rId9"/>
                    <a:stretch>
                      <a:fillRect/>
                    </a:stretch>
                  </pic:blipFill>
                  <pic:spPr>
                    <a:xfrm>
                      <a:off x="0" y="0"/>
                      <a:ext cx="5943600" cy="2495550"/>
                    </a:xfrm>
                    <a:prstGeom prst="rect">
                      <a:avLst/>
                    </a:prstGeom>
                  </pic:spPr>
                </pic:pic>
              </a:graphicData>
            </a:graphic>
          </wp:inline>
        </w:drawing>
      </w:r>
    </w:p>
    <w:p w14:paraId="2BDC2F3F" w14:textId="1649458A" w:rsidR="003B7246" w:rsidRPr="002516B1" w:rsidRDefault="003B7246" w:rsidP="007A0C73">
      <w:pPr>
        <w:spacing w:line="240" w:lineRule="auto"/>
        <w:rPr>
          <w:rFonts w:cs="Arial"/>
          <w:color w:val="800080"/>
          <w:szCs w:val="24"/>
        </w:rPr>
      </w:pPr>
      <w:bookmarkStart w:id="2" w:name="_Hlk110605044"/>
      <w:r w:rsidRPr="002516B1">
        <w:rPr>
          <w:rFonts w:cs="Arial"/>
        </w:rPr>
        <w:t xml:space="preserve">All contract awards must include an entry for the </w:t>
      </w:r>
      <w:r w:rsidRPr="002516B1">
        <w:rPr>
          <w:rFonts w:cs="Arial"/>
          <w:b/>
          <w:bCs/>
        </w:rPr>
        <w:t xml:space="preserve">Product/Service Code – </w:t>
      </w:r>
      <w:r w:rsidRPr="00612062">
        <w:rPr>
          <w:rFonts w:cs="Arial"/>
          <w:szCs w:val="24"/>
        </w:rPr>
        <w:t>FDC #19</w:t>
      </w:r>
      <w:r w:rsidRPr="002516B1">
        <w:rPr>
          <w:rFonts w:cs="Arial"/>
          <w:color w:val="800080"/>
          <w:szCs w:val="24"/>
        </w:rPr>
        <w:t xml:space="preserve">. </w:t>
      </w:r>
      <w:bookmarkEnd w:id="2"/>
    </w:p>
    <w:p w14:paraId="390D5004" w14:textId="77777777" w:rsidR="003B7246" w:rsidRPr="002516B1" w:rsidRDefault="003B7246" w:rsidP="007A0C73">
      <w:pPr>
        <w:spacing w:line="240" w:lineRule="auto"/>
        <w:rPr>
          <w:rFonts w:cs="Arial"/>
        </w:rPr>
      </w:pPr>
      <w:r w:rsidRPr="002516B1">
        <w:rPr>
          <w:rFonts w:cs="Arial"/>
          <w:noProof/>
        </w:rPr>
        <w:drawing>
          <wp:inline distT="0" distB="0" distL="0" distR="0" wp14:anchorId="77218E27" wp14:editId="5D576201">
            <wp:extent cx="5943600" cy="1426210"/>
            <wp:effectExtent l="0" t="0" r="0" b="2540"/>
            <wp:docPr id="11" name="Picture 11" descr="PRISM In-Progress to FPDS – Draft - &#10;Populated FPDS field values must be corrected in PRISM before routing the document for approval. FPDS is a web-based application. Save Draft – After Editing, Validating, and before Exiting the FPDS reco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SM In-Progress to FPDS – Draft - &#10;Populated FPDS field values must be corrected in PRISM before routing the document for approval. FPDS is a web-based application. Save Draft – After Editing, Validating, and before Exiting the FPDS record.&#10;"/>
                    <pic:cNvPicPr/>
                  </pic:nvPicPr>
                  <pic:blipFill>
                    <a:blip r:embed="rId10"/>
                    <a:stretch>
                      <a:fillRect/>
                    </a:stretch>
                  </pic:blipFill>
                  <pic:spPr>
                    <a:xfrm>
                      <a:off x="0" y="0"/>
                      <a:ext cx="5943600" cy="1426210"/>
                    </a:xfrm>
                    <a:prstGeom prst="rect">
                      <a:avLst/>
                    </a:prstGeom>
                  </pic:spPr>
                </pic:pic>
              </a:graphicData>
            </a:graphic>
          </wp:inline>
        </w:drawing>
      </w:r>
    </w:p>
    <w:p w14:paraId="4EC371E9" w14:textId="77777777" w:rsidR="003B7246" w:rsidRPr="002516B1" w:rsidRDefault="003B7246" w:rsidP="007A0C73">
      <w:pPr>
        <w:spacing w:line="240" w:lineRule="auto"/>
        <w:rPr>
          <w:rFonts w:cs="Arial"/>
          <w:szCs w:val="24"/>
        </w:rPr>
      </w:pPr>
      <w:r w:rsidRPr="002516B1">
        <w:rPr>
          <w:rFonts w:cs="Arial"/>
          <w:szCs w:val="24"/>
        </w:rPr>
        <w:lastRenderedPageBreak/>
        <w:t xml:space="preserve">To improve data in </w:t>
      </w:r>
      <w:r w:rsidRPr="002516B1">
        <w:rPr>
          <w:rFonts w:cs="Arial"/>
          <w:b/>
          <w:bCs/>
          <w:szCs w:val="24"/>
        </w:rPr>
        <w:t>FPDS</w:t>
      </w:r>
      <w:r w:rsidRPr="002516B1">
        <w:rPr>
          <w:rFonts w:cs="Arial"/>
          <w:szCs w:val="24"/>
        </w:rPr>
        <w:t xml:space="preserve"> and </w:t>
      </w:r>
      <w:r w:rsidRPr="00612062">
        <w:rPr>
          <w:rFonts w:cs="Arial"/>
          <w:b/>
          <w:bCs/>
          <w:szCs w:val="24"/>
        </w:rPr>
        <w:t>eliminate</w:t>
      </w:r>
      <w:r w:rsidRPr="00612062">
        <w:rPr>
          <w:rFonts w:cs="Arial"/>
          <w:szCs w:val="24"/>
        </w:rPr>
        <w:t xml:space="preserve"> </w:t>
      </w:r>
      <w:r w:rsidRPr="002516B1">
        <w:rPr>
          <w:rFonts w:cs="Arial"/>
          <w:szCs w:val="24"/>
        </w:rPr>
        <w:t xml:space="preserve">the </w:t>
      </w:r>
      <w:r w:rsidRPr="002516B1">
        <w:rPr>
          <w:rFonts w:cs="Arial"/>
          <w:b/>
          <w:bCs/>
          <w:szCs w:val="24"/>
        </w:rPr>
        <w:t>FDC</w:t>
      </w:r>
      <w:r w:rsidRPr="002516B1">
        <w:rPr>
          <w:rFonts w:cs="Arial"/>
          <w:szCs w:val="24"/>
        </w:rPr>
        <w:t xml:space="preserve"> Alert, follow the tips below </w:t>
      </w:r>
      <w:r w:rsidRPr="00612062">
        <w:rPr>
          <w:rFonts w:cs="Arial"/>
          <w:b/>
          <w:bCs/>
          <w:szCs w:val="24"/>
        </w:rPr>
        <w:t>before</w:t>
      </w:r>
      <w:r w:rsidRPr="00612062">
        <w:rPr>
          <w:rFonts w:cs="Arial"/>
          <w:szCs w:val="24"/>
        </w:rPr>
        <w:t xml:space="preserve"> </w:t>
      </w:r>
      <w:r w:rsidRPr="002516B1">
        <w:rPr>
          <w:rFonts w:cs="Arial"/>
          <w:szCs w:val="24"/>
        </w:rPr>
        <w:t>routing the document for approval.</w:t>
      </w:r>
    </w:p>
    <w:p w14:paraId="3AF5C3EC" w14:textId="77777777" w:rsidR="003B7246" w:rsidRPr="002516B1" w:rsidRDefault="003B7246" w:rsidP="007A0C73">
      <w:pPr>
        <w:spacing w:line="240" w:lineRule="auto"/>
        <w:rPr>
          <w:rFonts w:cs="Arial"/>
          <w:szCs w:val="24"/>
        </w:rPr>
      </w:pPr>
    </w:p>
    <w:p w14:paraId="016A0B21" w14:textId="77777777" w:rsidR="003B7246" w:rsidRPr="002516B1" w:rsidRDefault="003B7246" w:rsidP="007A0C73">
      <w:pPr>
        <w:pBdr>
          <w:bottom w:val="single" w:sz="4" w:space="1" w:color="auto"/>
        </w:pBdr>
        <w:spacing w:before="240" w:after="240" w:line="240" w:lineRule="auto"/>
        <w:rPr>
          <w:rFonts w:cs="Arial"/>
          <w:szCs w:val="24"/>
        </w:rPr>
      </w:pPr>
      <w:r w:rsidRPr="002516B1">
        <w:rPr>
          <w:rFonts w:cs="Arial"/>
          <w:szCs w:val="24"/>
        </w:rPr>
        <w:t xml:space="preserve">If the preponderance of the buy is for </w:t>
      </w:r>
      <w:r w:rsidRPr="00612062">
        <w:rPr>
          <w:rFonts w:cs="Arial"/>
          <w:b/>
          <w:bCs/>
          <w:szCs w:val="24"/>
        </w:rPr>
        <w:t>Products</w:t>
      </w:r>
      <w:r w:rsidRPr="002516B1">
        <w:rPr>
          <w:rFonts w:cs="Arial"/>
          <w:szCs w:val="24"/>
        </w:rPr>
        <w:t>, then…</w:t>
      </w:r>
    </w:p>
    <w:p w14:paraId="5C39B506" w14:textId="77777777" w:rsidR="003B7246" w:rsidRPr="00612062" w:rsidRDefault="003B7246" w:rsidP="007A0C73">
      <w:pPr>
        <w:pStyle w:val="ListParagraph"/>
        <w:numPr>
          <w:ilvl w:val="0"/>
          <w:numId w:val="2"/>
        </w:numPr>
        <w:spacing w:before="240" w:after="240"/>
        <w:contextualSpacing w:val="0"/>
        <w:rPr>
          <w:rFonts w:cs="Arial"/>
          <w:b/>
          <w:bCs/>
        </w:rPr>
      </w:pPr>
      <w:r w:rsidRPr="00612062">
        <w:rPr>
          <w:rFonts w:cs="Arial"/>
          <w:b/>
          <w:bCs/>
        </w:rPr>
        <w:t>PRISM In-Progress – PSC (Products)</w:t>
      </w:r>
    </w:p>
    <w:p w14:paraId="2CE27E53" w14:textId="77777777" w:rsidR="003B7246" w:rsidRPr="002516B1" w:rsidRDefault="003B7246" w:rsidP="007A0C73">
      <w:pPr>
        <w:pStyle w:val="ListParagraph"/>
        <w:numPr>
          <w:ilvl w:val="1"/>
          <w:numId w:val="2"/>
        </w:numPr>
        <w:spacing w:before="240" w:after="240"/>
        <w:contextualSpacing w:val="0"/>
        <w:rPr>
          <w:rFonts w:cs="Arial"/>
        </w:rPr>
      </w:pPr>
      <w:r w:rsidRPr="002516B1">
        <w:rPr>
          <w:rFonts w:cs="Arial"/>
          <w:b/>
          <w:bCs/>
        </w:rPr>
        <w:t>8A Primary/Product Service Code</w:t>
      </w:r>
      <w:r w:rsidRPr="002516B1">
        <w:rPr>
          <w:rFonts w:cs="Arial"/>
        </w:rPr>
        <w:t xml:space="preserve"> must reflect a code that begins with a </w:t>
      </w:r>
      <w:r w:rsidRPr="002516B1">
        <w:rPr>
          <w:rFonts w:cs="Arial"/>
          <w:b/>
          <w:bCs/>
        </w:rPr>
        <w:t>number</w:t>
      </w:r>
      <w:r w:rsidRPr="002516B1">
        <w:rPr>
          <w:rFonts w:cs="Arial"/>
        </w:rPr>
        <w:t xml:space="preserve"> and </w:t>
      </w:r>
      <w:r w:rsidRPr="00612062">
        <w:rPr>
          <w:rFonts w:cs="Arial"/>
          <w:b/>
          <w:bCs/>
        </w:rPr>
        <w:t>not</w:t>
      </w:r>
      <w:r w:rsidRPr="00612062">
        <w:rPr>
          <w:rFonts w:cs="Arial"/>
        </w:rPr>
        <w:t xml:space="preserve"> </w:t>
      </w:r>
      <w:r w:rsidRPr="002516B1">
        <w:rPr>
          <w:rFonts w:cs="Arial"/>
        </w:rPr>
        <w:t xml:space="preserve">a letter – </w:t>
      </w:r>
      <w:r w:rsidRPr="00612062">
        <w:rPr>
          <w:rFonts w:cs="Arial"/>
          <w:spacing w:val="22"/>
        </w:rPr>
        <w:t>FDC #64</w:t>
      </w:r>
      <w:r w:rsidRPr="00612062">
        <w:rPr>
          <w:rFonts w:cs="Arial"/>
        </w:rPr>
        <w:t>.</w:t>
      </w:r>
    </w:p>
    <w:p w14:paraId="0814FE9D" w14:textId="77777777" w:rsidR="003B7246" w:rsidRPr="002516B1" w:rsidRDefault="003B7246" w:rsidP="007A0C73">
      <w:pPr>
        <w:pStyle w:val="ListParagraph"/>
        <w:numPr>
          <w:ilvl w:val="1"/>
          <w:numId w:val="2"/>
        </w:numPr>
        <w:spacing w:before="240" w:after="240"/>
        <w:contextualSpacing w:val="0"/>
        <w:rPr>
          <w:rFonts w:cs="Arial"/>
        </w:rPr>
      </w:pPr>
      <w:r w:rsidRPr="002516B1">
        <w:rPr>
          <w:rFonts w:cs="Arial"/>
          <w:b/>
          <w:bCs/>
        </w:rPr>
        <w:t>6T-Inherently Governmental Functions</w:t>
      </w:r>
      <w:r w:rsidRPr="002516B1">
        <w:rPr>
          <w:rFonts w:cs="Arial"/>
        </w:rPr>
        <w:t xml:space="preserve"> must be blank. FPDS – Select One equate to a blank value – </w:t>
      </w:r>
      <w:r w:rsidRPr="00612062">
        <w:rPr>
          <w:rFonts w:cs="Arial"/>
          <w:spacing w:val="22"/>
        </w:rPr>
        <w:t>FDC #141.</w:t>
      </w:r>
    </w:p>
    <w:p w14:paraId="287872F3" w14:textId="77777777" w:rsidR="003B7246" w:rsidRPr="002516B1" w:rsidRDefault="003B7246" w:rsidP="007A0C73">
      <w:pPr>
        <w:pStyle w:val="ListParagraph"/>
        <w:numPr>
          <w:ilvl w:val="1"/>
          <w:numId w:val="2"/>
        </w:numPr>
        <w:spacing w:before="240" w:after="240"/>
        <w:contextualSpacing w:val="0"/>
        <w:rPr>
          <w:rFonts w:cs="Arial"/>
        </w:rPr>
      </w:pPr>
      <w:r w:rsidRPr="002516B1">
        <w:rPr>
          <w:rFonts w:cs="Arial"/>
          <w:b/>
          <w:bCs/>
        </w:rPr>
        <w:t xml:space="preserve">6F-Performance Based Service </w:t>
      </w:r>
      <w:proofErr w:type="spellStart"/>
      <w:r w:rsidRPr="002516B1">
        <w:rPr>
          <w:rFonts w:cs="Arial"/>
          <w:b/>
          <w:bCs/>
        </w:rPr>
        <w:t>Acq</w:t>
      </w:r>
      <w:proofErr w:type="spellEnd"/>
      <w:r w:rsidRPr="002516B1">
        <w:rPr>
          <w:rFonts w:cs="Arial"/>
        </w:rPr>
        <w:t xml:space="preserve">, select Not applicable – </w:t>
      </w:r>
      <w:r w:rsidRPr="00612062">
        <w:rPr>
          <w:rFonts w:cs="Arial"/>
          <w:spacing w:val="22"/>
        </w:rPr>
        <w:t>FDC #60</w:t>
      </w:r>
      <w:r w:rsidRPr="002516B1">
        <w:rPr>
          <w:rFonts w:cs="Arial"/>
        </w:rPr>
        <w:t>.</w:t>
      </w:r>
    </w:p>
    <w:p w14:paraId="2FDEAAAC" w14:textId="77777777" w:rsidR="003B7246" w:rsidRPr="00612062" w:rsidRDefault="003B7246" w:rsidP="007A0C73">
      <w:pPr>
        <w:pStyle w:val="ListParagraph"/>
        <w:numPr>
          <w:ilvl w:val="0"/>
          <w:numId w:val="2"/>
        </w:numPr>
        <w:spacing w:before="480" w:after="240"/>
        <w:contextualSpacing w:val="0"/>
        <w:rPr>
          <w:rFonts w:cs="Arial"/>
          <w:b/>
          <w:bCs/>
        </w:rPr>
      </w:pPr>
      <w:r w:rsidRPr="00612062">
        <w:rPr>
          <w:rFonts w:cs="Arial"/>
          <w:b/>
          <w:bCs/>
        </w:rPr>
        <w:t>FPDS Draft – PSC (Products)</w:t>
      </w:r>
    </w:p>
    <w:p w14:paraId="0C464C86" w14:textId="77777777" w:rsidR="003B7246" w:rsidRPr="00612062" w:rsidRDefault="003B7246" w:rsidP="007A0C73">
      <w:pPr>
        <w:pStyle w:val="ListParagraph"/>
        <w:numPr>
          <w:ilvl w:val="1"/>
          <w:numId w:val="2"/>
        </w:numPr>
        <w:spacing w:before="240" w:after="240"/>
        <w:contextualSpacing w:val="0"/>
        <w:rPr>
          <w:rFonts w:cs="Arial"/>
          <w:spacing w:val="22"/>
        </w:rPr>
      </w:pPr>
      <w:r w:rsidRPr="002516B1">
        <w:rPr>
          <w:rFonts w:cs="Arial"/>
        </w:rPr>
        <w:t xml:space="preserve">Enter the Vendor’s Zip Code or Postal Code, whichever applicable in the </w:t>
      </w:r>
      <w:r w:rsidRPr="002516B1">
        <w:rPr>
          <w:rFonts w:cs="Arial"/>
          <w:b/>
          <w:bCs/>
        </w:rPr>
        <w:t>Place of Performance Zip Code (+4)</w:t>
      </w:r>
      <w:r w:rsidRPr="002516B1">
        <w:rPr>
          <w:rFonts w:cs="Arial"/>
        </w:rPr>
        <w:t xml:space="preserve"> field – </w:t>
      </w:r>
      <w:r w:rsidRPr="00612062">
        <w:rPr>
          <w:rFonts w:cs="Arial"/>
          <w:spacing w:val="22"/>
        </w:rPr>
        <w:t>FDC #123.</w:t>
      </w:r>
    </w:p>
    <w:p w14:paraId="7FF26174" w14:textId="77777777" w:rsidR="003B7246" w:rsidRPr="002516B1" w:rsidRDefault="003B7246" w:rsidP="007A0C73">
      <w:pPr>
        <w:pStyle w:val="ListParagraph"/>
        <w:numPr>
          <w:ilvl w:val="2"/>
          <w:numId w:val="2"/>
        </w:numPr>
        <w:spacing w:before="240" w:after="240"/>
        <w:contextualSpacing w:val="0"/>
        <w:rPr>
          <w:rFonts w:cs="Arial"/>
        </w:rPr>
      </w:pPr>
      <w:r w:rsidRPr="002516B1">
        <w:rPr>
          <w:rFonts w:cs="Arial"/>
          <w:b/>
          <w:bCs/>
        </w:rPr>
        <w:t>Place of Manufacture</w:t>
      </w:r>
      <w:r w:rsidRPr="002516B1">
        <w:rPr>
          <w:rFonts w:cs="Arial"/>
        </w:rPr>
        <w:t xml:space="preserve"> field must display a response appropriate for </w:t>
      </w:r>
      <w:r w:rsidRPr="002516B1">
        <w:rPr>
          <w:rFonts w:cs="Arial"/>
          <w:b/>
          <w:bCs/>
        </w:rPr>
        <w:t>products</w:t>
      </w:r>
      <w:r w:rsidRPr="002516B1">
        <w:rPr>
          <w:rFonts w:cs="Arial"/>
        </w:rPr>
        <w:t>, for example, Mfg. in the U.S.</w:t>
      </w:r>
    </w:p>
    <w:p w14:paraId="1091A8DD" w14:textId="77777777" w:rsidR="003B7246" w:rsidRPr="00612062" w:rsidRDefault="003B7246" w:rsidP="007A0C73">
      <w:pPr>
        <w:pStyle w:val="ListParagraph"/>
        <w:numPr>
          <w:ilvl w:val="0"/>
          <w:numId w:val="4"/>
        </w:numPr>
        <w:spacing w:before="240" w:after="240"/>
        <w:ind w:left="1440"/>
        <w:contextualSpacing w:val="0"/>
        <w:rPr>
          <w:rFonts w:cs="Arial"/>
          <w:spacing w:val="22"/>
        </w:rPr>
      </w:pPr>
      <w:r w:rsidRPr="00612062">
        <w:rPr>
          <w:rFonts w:cs="Arial"/>
          <w:b/>
          <w:bCs/>
        </w:rPr>
        <w:t>Products</w:t>
      </w:r>
      <w:r w:rsidRPr="00612062">
        <w:rPr>
          <w:rFonts w:cs="Arial"/>
        </w:rPr>
        <w:t xml:space="preserve"> are </w:t>
      </w:r>
      <w:r w:rsidRPr="00612062">
        <w:rPr>
          <w:rFonts w:cs="Arial"/>
          <w:b/>
          <w:bCs/>
        </w:rPr>
        <w:t>exempt</w:t>
      </w:r>
      <w:r w:rsidRPr="00612062">
        <w:rPr>
          <w:rFonts w:cs="Arial"/>
        </w:rPr>
        <w:t xml:space="preserve"> from </w:t>
      </w:r>
      <w:r w:rsidRPr="00612062">
        <w:rPr>
          <w:rFonts w:cs="Arial"/>
          <w:b/>
          <w:bCs/>
        </w:rPr>
        <w:t>Labor Standards</w:t>
      </w:r>
      <w:r w:rsidRPr="00612062">
        <w:rPr>
          <w:rFonts w:cs="Arial"/>
        </w:rPr>
        <w:t xml:space="preserve">, </w:t>
      </w:r>
      <w:r w:rsidRPr="00612062">
        <w:rPr>
          <w:rFonts w:cs="Arial"/>
          <w:b/>
          <w:bCs/>
        </w:rPr>
        <w:t>Materials, Supplies, Articles, Equipment</w:t>
      </w:r>
      <w:r w:rsidRPr="00612062">
        <w:rPr>
          <w:rFonts w:cs="Arial"/>
        </w:rPr>
        <w:t xml:space="preserve">, and </w:t>
      </w:r>
      <w:r w:rsidRPr="00612062">
        <w:rPr>
          <w:rFonts w:cs="Arial"/>
          <w:b/>
          <w:bCs/>
        </w:rPr>
        <w:t xml:space="preserve">Construction Wage Rate Requirements – </w:t>
      </w:r>
      <w:r w:rsidRPr="00612062">
        <w:rPr>
          <w:rFonts w:cs="Arial"/>
          <w:spacing w:val="22"/>
        </w:rPr>
        <w:t>FDC #96, #97, #98.</w:t>
      </w:r>
    </w:p>
    <w:p w14:paraId="2A6AE8D3" w14:textId="62AEA99E" w:rsidR="003B7246" w:rsidRPr="002516B1" w:rsidRDefault="003B7246" w:rsidP="007A0C73">
      <w:pPr>
        <w:spacing w:line="240" w:lineRule="auto"/>
        <w:rPr>
          <w:rFonts w:cs="Arial"/>
          <w:szCs w:val="24"/>
        </w:rPr>
      </w:pPr>
      <w:r w:rsidRPr="002516B1">
        <w:rPr>
          <w:rFonts w:cs="Arial"/>
          <w:szCs w:val="24"/>
        </w:rPr>
        <w:t xml:space="preserve">If the preponderance of the buy is for </w:t>
      </w:r>
      <w:r w:rsidRPr="00612062">
        <w:rPr>
          <w:rFonts w:cs="Arial"/>
          <w:b/>
          <w:bCs/>
          <w:szCs w:val="24"/>
        </w:rPr>
        <w:t>Services</w:t>
      </w:r>
      <w:r w:rsidRPr="002516B1">
        <w:rPr>
          <w:rFonts w:cs="Arial"/>
          <w:szCs w:val="24"/>
        </w:rPr>
        <w:t>, then…</w:t>
      </w:r>
    </w:p>
    <w:p w14:paraId="6272B5DA" w14:textId="0C9E857C" w:rsidR="003B7246" w:rsidRPr="00612062" w:rsidRDefault="003B7246" w:rsidP="007A0C73">
      <w:pPr>
        <w:pStyle w:val="ListParagraph"/>
        <w:numPr>
          <w:ilvl w:val="0"/>
          <w:numId w:val="2"/>
        </w:numPr>
        <w:spacing w:before="240" w:after="240"/>
        <w:contextualSpacing w:val="0"/>
        <w:rPr>
          <w:rFonts w:cs="Arial"/>
          <w:b/>
          <w:bCs/>
        </w:rPr>
      </w:pPr>
      <w:r w:rsidRPr="00612062">
        <w:rPr>
          <w:rFonts w:cs="Arial"/>
          <w:b/>
          <w:bCs/>
        </w:rPr>
        <w:t>PRISM In-Progress – PSC (Services)</w:t>
      </w:r>
    </w:p>
    <w:p w14:paraId="65B745CF" w14:textId="77777777" w:rsidR="003B7246" w:rsidRPr="002516B1" w:rsidRDefault="003B7246" w:rsidP="007A0C73">
      <w:pPr>
        <w:pStyle w:val="ListParagraph"/>
        <w:numPr>
          <w:ilvl w:val="1"/>
          <w:numId w:val="2"/>
        </w:numPr>
        <w:spacing w:before="240" w:after="240"/>
        <w:contextualSpacing w:val="0"/>
        <w:rPr>
          <w:rFonts w:cs="Arial"/>
        </w:rPr>
      </w:pPr>
      <w:r w:rsidRPr="002516B1">
        <w:rPr>
          <w:rFonts w:cs="Arial"/>
          <w:b/>
          <w:bCs/>
        </w:rPr>
        <w:t>6T-Inherently Governmental Functions</w:t>
      </w:r>
      <w:r w:rsidRPr="002516B1">
        <w:rPr>
          <w:rFonts w:cs="Arial"/>
        </w:rPr>
        <w:t xml:space="preserve"> select the appropriate response, the field </w:t>
      </w:r>
      <w:r w:rsidRPr="00612062">
        <w:rPr>
          <w:rFonts w:cs="Arial"/>
          <w:b/>
          <w:bCs/>
        </w:rPr>
        <w:t>cannot</w:t>
      </w:r>
      <w:r w:rsidRPr="00612062">
        <w:rPr>
          <w:rFonts w:cs="Arial"/>
        </w:rPr>
        <w:t xml:space="preserve"> </w:t>
      </w:r>
      <w:r w:rsidRPr="002516B1">
        <w:rPr>
          <w:rFonts w:cs="Arial"/>
        </w:rPr>
        <w:t>be blank.</w:t>
      </w:r>
    </w:p>
    <w:p w14:paraId="42FDF954" w14:textId="77777777" w:rsidR="003B7246" w:rsidRPr="002516B1" w:rsidRDefault="003B7246" w:rsidP="007A0C73">
      <w:pPr>
        <w:pStyle w:val="ListParagraph"/>
        <w:numPr>
          <w:ilvl w:val="1"/>
          <w:numId w:val="2"/>
        </w:numPr>
        <w:spacing w:before="240" w:after="240"/>
        <w:contextualSpacing w:val="0"/>
        <w:rPr>
          <w:rFonts w:cs="Arial"/>
        </w:rPr>
      </w:pPr>
      <w:r w:rsidRPr="002516B1">
        <w:rPr>
          <w:rFonts w:cs="Arial"/>
          <w:b/>
          <w:bCs/>
        </w:rPr>
        <w:t xml:space="preserve">6F-Performance Based Service </w:t>
      </w:r>
      <w:proofErr w:type="spellStart"/>
      <w:r w:rsidRPr="002516B1">
        <w:rPr>
          <w:rFonts w:cs="Arial"/>
          <w:b/>
          <w:bCs/>
        </w:rPr>
        <w:t>Acq</w:t>
      </w:r>
      <w:proofErr w:type="spellEnd"/>
      <w:r w:rsidRPr="002516B1">
        <w:rPr>
          <w:rFonts w:cs="Arial"/>
        </w:rPr>
        <w:t xml:space="preserve">, select the appropriate response, the field </w:t>
      </w:r>
      <w:r w:rsidRPr="00612062">
        <w:rPr>
          <w:rFonts w:cs="Arial"/>
          <w:b/>
          <w:bCs/>
        </w:rPr>
        <w:t>cannot</w:t>
      </w:r>
      <w:r w:rsidRPr="00612062">
        <w:rPr>
          <w:rFonts w:cs="Arial"/>
        </w:rPr>
        <w:t xml:space="preserve"> </w:t>
      </w:r>
      <w:r w:rsidRPr="002516B1">
        <w:rPr>
          <w:rFonts w:cs="Arial"/>
        </w:rPr>
        <w:t>be Not applicable.</w:t>
      </w:r>
    </w:p>
    <w:p w14:paraId="2452F145" w14:textId="77777777" w:rsidR="003B7246" w:rsidRPr="00612062" w:rsidRDefault="003B7246" w:rsidP="007A0C73">
      <w:pPr>
        <w:pStyle w:val="ListParagraph"/>
        <w:numPr>
          <w:ilvl w:val="1"/>
          <w:numId w:val="2"/>
        </w:numPr>
        <w:spacing w:before="240" w:after="240"/>
        <w:contextualSpacing w:val="0"/>
        <w:rPr>
          <w:rFonts w:cs="Arial"/>
          <w:u w:val="single"/>
        </w:rPr>
      </w:pPr>
      <w:r w:rsidRPr="00612062">
        <w:rPr>
          <w:rFonts w:cs="Arial"/>
          <w:b/>
          <w:bCs/>
        </w:rPr>
        <w:t xml:space="preserve">Do Not Select PSC R497 - SUPPORT- PROFESSIONAL: PERSONAL SERVICES CONTRACTS – </w:t>
      </w:r>
      <w:r w:rsidRPr="00612062">
        <w:rPr>
          <w:rFonts w:cs="Arial"/>
          <w:spacing w:val="22"/>
        </w:rPr>
        <w:t>FDC #154.</w:t>
      </w:r>
    </w:p>
    <w:p w14:paraId="1CFEB12C" w14:textId="77777777" w:rsidR="003B7246" w:rsidRPr="00612062" w:rsidRDefault="003B7246" w:rsidP="007A0C73">
      <w:pPr>
        <w:pStyle w:val="ListParagraph"/>
        <w:numPr>
          <w:ilvl w:val="0"/>
          <w:numId w:val="3"/>
        </w:numPr>
        <w:spacing w:before="480" w:after="160"/>
        <w:contextualSpacing w:val="0"/>
        <w:rPr>
          <w:rFonts w:cs="Arial"/>
          <w:b/>
          <w:bCs/>
        </w:rPr>
      </w:pPr>
      <w:r w:rsidRPr="00612062">
        <w:rPr>
          <w:rFonts w:cs="Arial"/>
          <w:b/>
          <w:bCs/>
        </w:rPr>
        <w:t>FPDS Draft – PSC (Services)</w:t>
      </w:r>
    </w:p>
    <w:p w14:paraId="71DF94F0" w14:textId="77777777" w:rsidR="003B7246" w:rsidRPr="00612062" w:rsidRDefault="003B7246" w:rsidP="007A0C73">
      <w:pPr>
        <w:pStyle w:val="ListParagraph"/>
        <w:numPr>
          <w:ilvl w:val="1"/>
          <w:numId w:val="2"/>
        </w:numPr>
        <w:spacing w:before="240" w:after="240"/>
        <w:contextualSpacing w:val="0"/>
        <w:rPr>
          <w:rFonts w:cs="Arial"/>
          <w:spacing w:val="22"/>
        </w:rPr>
      </w:pPr>
      <w:r w:rsidRPr="00612062">
        <w:rPr>
          <w:rFonts w:cs="Arial"/>
        </w:rPr>
        <w:t xml:space="preserve">Enter the Zip Code or Postal Code, whichever applicable in the </w:t>
      </w:r>
      <w:r w:rsidRPr="00612062">
        <w:rPr>
          <w:rFonts w:cs="Arial"/>
          <w:b/>
          <w:bCs/>
        </w:rPr>
        <w:t>Place of Performance Zip Code (+4)</w:t>
      </w:r>
      <w:r w:rsidRPr="00612062">
        <w:rPr>
          <w:rFonts w:cs="Arial"/>
        </w:rPr>
        <w:t xml:space="preserve"> field where the </w:t>
      </w:r>
      <w:r w:rsidRPr="00612062">
        <w:rPr>
          <w:rFonts w:cs="Arial"/>
          <w:b/>
          <w:bCs/>
        </w:rPr>
        <w:t>Services</w:t>
      </w:r>
      <w:r w:rsidRPr="00612062">
        <w:rPr>
          <w:rFonts w:cs="Arial"/>
        </w:rPr>
        <w:t xml:space="preserve"> are being performed – </w:t>
      </w:r>
      <w:r w:rsidRPr="00612062">
        <w:rPr>
          <w:rFonts w:cs="Arial"/>
          <w:spacing w:val="22"/>
        </w:rPr>
        <w:t>FDC #151.</w:t>
      </w:r>
    </w:p>
    <w:p w14:paraId="29619E9E" w14:textId="77777777" w:rsidR="003B7246" w:rsidRPr="002516B1" w:rsidRDefault="003B7246" w:rsidP="007A0C73">
      <w:pPr>
        <w:pStyle w:val="ListParagraph"/>
        <w:numPr>
          <w:ilvl w:val="2"/>
          <w:numId w:val="2"/>
        </w:numPr>
        <w:spacing w:before="240" w:after="240"/>
        <w:contextualSpacing w:val="0"/>
        <w:rPr>
          <w:rFonts w:cs="Arial"/>
        </w:rPr>
      </w:pPr>
      <w:r w:rsidRPr="002516B1">
        <w:rPr>
          <w:rFonts w:cs="Arial"/>
          <w:b/>
          <w:bCs/>
        </w:rPr>
        <w:t>Place of Manufacture</w:t>
      </w:r>
      <w:r w:rsidRPr="002516B1">
        <w:rPr>
          <w:rFonts w:cs="Arial"/>
        </w:rPr>
        <w:t xml:space="preserve"> field must display a response appropriate for </w:t>
      </w:r>
      <w:r w:rsidRPr="002516B1">
        <w:rPr>
          <w:rFonts w:cs="Arial"/>
          <w:b/>
          <w:bCs/>
        </w:rPr>
        <w:t>services.</w:t>
      </w:r>
    </w:p>
    <w:p w14:paraId="210EEEBD" w14:textId="6392AA5C" w:rsidR="003B7246" w:rsidRPr="002516B1" w:rsidRDefault="003B7246" w:rsidP="007A0C73">
      <w:pPr>
        <w:pStyle w:val="ListParagraph"/>
        <w:numPr>
          <w:ilvl w:val="1"/>
          <w:numId w:val="2"/>
        </w:numPr>
        <w:spacing w:before="240" w:after="240"/>
        <w:contextualSpacing w:val="0"/>
        <w:rPr>
          <w:rFonts w:cs="Arial"/>
        </w:rPr>
      </w:pPr>
      <w:r w:rsidRPr="002516B1">
        <w:rPr>
          <w:rFonts w:cs="Arial"/>
        </w:rPr>
        <w:lastRenderedPageBreak/>
        <w:t>Select the appropriate response for</w:t>
      </w:r>
      <w:r w:rsidRPr="002516B1">
        <w:rPr>
          <w:rFonts w:cs="Arial"/>
          <w:b/>
          <w:bCs/>
        </w:rPr>
        <w:t xml:space="preserve"> - Labor Standards</w:t>
      </w:r>
      <w:r w:rsidRPr="002516B1">
        <w:rPr>
          <w:rFonts w:cs="Arial"/>
        </w:rPr>
        <w:t xml:space="preserve">, </w:t>
      </w:r>
      <w:r w:rsidRPr="002516B1">
        <w:rPr>
          <w:rFonts w:cs="Arial"/>
          <w:b/>
          <w:bCs/>
        </w:rPr>
        <w:t>Materials, Supplies, Articles, Equipment</w:t>
      </w:r>
      <w:r w:rsidRPr="002516B1">
        <w:rPr>
          <w:rFonts w:cs="Arial"/>
        </w:rPr>
        <w:t xml:space="preserve">, and </w:t>
      </w:r>
      <w:r w:rsidRPr="002516B1">
        <w:rPr>
          <w:rFonts w:cs="Arial"/>
          <w:b/>
          <w:bCs/>
        </w:rPr>
        <w:t>Construction Wage Rate Requirements</w:t>
      </w:r>
      <w:r w:rsidRPr="002516B1">
        <w:rPr>
          <w:rFonts w:cs="Arial"/>
        </w:rPr>
        <w:t>.</w:t>
      </w:r>
    </w:p>
    <w:p w14:paraId="54E98C3F" w14:textId="77777777" w:rsidR="003B7246" w:rsidRPr="002516B1" w:rsidRDefault="003B7246" w:rsidP="007A0C73">
      <w:pPr>
        <w:pStyle w:val="Heading1"/>
        <w:spacing w:line="240" w:lineRule="auto"/>
        <w:rPr>
          <w:rFonts w:cs="Arial"/>
        </w:rPr>
      </w:pPr>
      <w:r w:rsidRPr="002516B1">
        <w:rPr>
          <w:rFonts w:cs="Arial"/>
        </w:rPr>
        <w:t>Contractor Responsibility Assessment (CRA)</w:t>
      </w:r>
    </w:p>
    <w:p w14:paraId="1EB62095" w14:textId="78041630" w:rsidR="003B7246" w:rsidRPr="002516B1" w:rsidRDefault="003B7246" w:rsidP="007A0C73">
      <w:pPr>
        <w:spacing w:before="240" w:line="240" w:lineRule="auto"/>
        <w:jc w:val="center"/>
        <w:rPr>
          <w:rFonts w:cs="Arial"/>
        </w:rPr>
      </w:pPr>
      <w:r w:rsidRPr="002516B1">
        <w:rPr>
          <w:rFonts w:cs="Arial"/>
          <w:noProof/>
        </w:rPr>
        <w:drawing>
          <wp:inline distT="0" distB="0" distL="0" distR="0" wp14:anchorId="7C57B9AB" wp14:editId="4C7AD83F">
            <wp:extent cx="5657850" cy="2200275"/>
            <wp:effectExtent l="0" t="0" r="0" b="9525"/>
            <wp:docPr id="12" name="Picture 11" descr="Open Outlook address the email as following: From - Must be a .gov email address - To: vendorreport@feddatacheck.net - Subject: Enter the Vendor's Unique Entity ID (DUNS) ONLY. Click Send. In about 2 minutes you will receive a Vendor Report that will indicate the Vendor's Business Size, NAICS, and other pertinent information.">
              <a:extLst xmlns:a="http://schemas.openxmlformats.org/drawingml/2006/main">
                <a:ext uri="{FF2B5EF4-FFF2-40B4-BE49-F238E27FC236}">
                  <a16:creationId xmlns:a16="http://schemas.microsoft.com/office/drawing/2014/main" id="{9A724B04-30BC-45A1-8239-6E3DFEA0E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Open Outlook address the email as following: From - Must be a .gov email address - To: vendorreport@feddatacheck.net - Subject: Enter the Vendor's Unique Entity ID (DUNS) ONLY. Click Send. In about 2 minutes you will receive a Vendor Report that will indicate the Vendor's Business Size, NAICS, and other pertinent information.">
                      <a:extLst>
                        <a:ext uri="{FF2B5EF4-FFF2-40B4-BE49-F238E27FC236}">
                          <a16:creationId xmlns:a16="http://schemas.microsoft.com/office/drawing/2014/main" id="{9A724B04-30BC-45A1-8239-6E3DFEA0E0C6}"/>
                        </a:ext>
                      </a:extLst>
                    </pic:cNvPr>
                    <pic:cNvPicPr>
                      <a:picLocks noChangeAspect="1"/>
                    </pic:cNvPicPr>
                  </pic:nvPicPr>
                  <pic:blipFill>
                    <a:blip r:embed="rId11"/>
                    <a:stretch>
                      <a:fillRect/>
                    </a:stretch>
                  </pic:blipFill>
                  <pic:spPr>
                    <a:xfrm>
                      <a:off x="0" y="0"/>
                      <a:ext cx="5759355" cy="2239749"/>
                    </a:xfrm>
                    <a:prstGeom prst="rect">
                      <a:avLst/>
                    </a:prstGeom>
                  </pic:spPr>
                </pic:pic>
              </a:graphicData>
            </a:graphic>
          </wp:inline>
        </w:drawing>
      </w:r>
      <w:r w:rsidR="002516B1">
        <w:rPr>
          <w:rFonts w:cs="Arial"/>
        </w:rPr>
        <w:br/>
      </w:r>
    </w:p>
    <w:p w14:paraId="4C0CC9D9" w14:textId="77777777" w:rsidR="003B7246" w:rsidRPr="002516B1" w:rsidRDefault="003B7246" w:rsidP="007A0C73">
      <w:pPr>
        <w:spacing w:line="240" w:lineRule="auto"/>
        <w:rPr>
          <w:rFonts w:cs="Arial"/>
          <w:noProof/>
          <w:szCs w:val="24"/>
        </w:rPr>
      </w:pPr>
      <w:bookmarkStart w:id="3" w:name="_Hlk109981634"/>
      <w:r w:rsidRPr="002516B1">
        <w:rPr>
          <w:rFonts w:cs="Arial"/>
          <w:noProof/>
          <w:szCs w:val="24"/>
        </w:rPr>
        <w:t xml:space="preserve">Although the </w:t>
      </w:r>
      <w:r w:rsidRPr="002516B1">
        <w:rPr>
          <w:rFonts w:cs="Arial"/>
          <w:b/>
          <w:bCs/>
          <w:noProof/>
          <w:szCs w:val="24"/>
        </w:rPr>
        <w:t>System for Award Management (SAM)</w:t>
      </w:r>
      <w:r w:rsidRPr="002516B1">
        <w:rPr>
          <w:rFonts w:cs="Arial"/>
          <w:noProof/>
          <w:szCs w:val="24"/>
        </w:rPr>
        <w:t xml:space="preserve"> is the official source for vendor information. </w:t>
      </w:r>
      <w:r w:rsidRPr="002516B1">
        <w:rPr>
          <w:rFonts w:cs="Arial"/>
          <w:szCs w:val="24"/>
        </w:rPr>
        <w:t xml:space="preserve">Use the </w:t>
      </w:r>
      <w:r w:rsidRPr="002516B1">
        <w:rPr>
          <w:rFonts w:cs="Arial"/>
          <w:b/>
          <w:bCs/>
          <w:szCs w:val="24"/>
        </w:rPr>
        <w:t>CRA</w:t>
      </w:r>
      <w:r w:rsidRPr="002516B1">
        <w:rPr>
          <w:rFonts w:cs="Arial"/>
          <w:szCs w:val="24"/>
        </w:rPr>
        <w:t xml:space="preserve"> to help you find the Vendor’s </w:t>
      </w:r>
      <w:r w:rsidRPr="002516B1">
        <w:rPr>
          <w:rFonts w:cs="Arial"/>
          <w:b/>
          <w:bCs/>
          <w:szCs w:val="24"/>
        </w:rPr>
        <w:t>PSC</w:t>
      </w:r>
      <w:r w:rsidRPr="002516B1">
        <w:rPr>
          <w:rFonts w:cs="Arial"/>
          <w:szCs w:val="24"/>
        </w:rPr>
        <w:t>.</w:t>
      </w:r>
    </w:p>
    <w:p w14:paraId="21A85BE1" w14:textId="77777777" w:rsidR="003B7246" w:rsidRPr="002516B1" w:rsidRDefault="003B7246" w:rsidP="007A0C73">
      <w:pPr>
        <w:spacing w:line="240" w:lineRule="auto"/>
        <w:rPr>
          <w:rFonts w:cs="Arial"/>
          <w:noProof/>
          <w:szCs w:val="24"/>
        </w:rPr>
      </w:pPr>
      <w:r w:rsidRPr="002516B1">
        <w:rPr>
          <w:rFonts w:cs="Arial"/>
          <w:noProof/>
          <w:szCs w:val="24"/>
        </w:rPr>
        <w:t xml:space="preserve">Open </w:t>
      </w:r>
      <w:r w:rsidRPr="002516B1">
        <w:rPr>
          <w:rFonts w:cs="Arial"/>
          <w:b/>
          <w:bCs/>
          <w:noProof/>
          <w:szCs w:val="24"/>
        </w:rPr>
        <w:t>Outlook</w:t>
      </w:r>
      <w:r w:rsidRPr="002516B1">
        <w:rPr>
          <w:rFonts w:cs="Arial"/>
          <w:noProof/>
          <w:szCs w:val="24"/>
        </w:rPr>
        <w:t xml:space="preserve">, address an email to </w:t>
      </w:r>
      <w:hyperlink r:id="rId12" w:history="1">
        <w:r w:rsidRPr="002516B1">
          <w:rPr>
            <w:rStyle w:val="Hyperlink"/>
            <w:rFonts w:cs="Arial"/>
            <w:noProof/>
            <w:szCs w:val="24"/>
          </w:rPr>
          <w:t>vendorreport@feddatacheck.net</w:t>
        </w:r>
      </w:hyperlink>
      <w:r w:rsidRPr="002516B1">
        <w:rPr>
          <w:rFonts w:cs="Arial"/>
          <w:noProof/>
          <w:szCs w:val="24"/>
        </w:rPr>
        <w:t xml:space="preserve">, in the subject line enter the Vendor’s </w:t>
      </w:r>
      <w:r w:rsidRPr="002516B1">
        <w:rPr>
          <w:rFonts w:cs="Arial"/>
          <w:b/>
          <w:bCs/>
          <w:noProof/>
          <w:szCs w:val="24"/>
        </w:rPr>
        <w:t>Unique Entity ID</w:t>
      </w:r>
      <w:r w:rsidRPr="002516B1">
        <w:rPr>
          <w:rFonts w:cs="Arial"/>
          <w:noProof/>
          <w:szCs w:val="24"/>
        </w:rPr>
        <w:t xml:space="preserve">, click </w:t>
      </w:r>
      <w:r w:rsidRPr="002516B1">
        <w:rPr>
          <w:rFonts w:cs="Arial"/>
          <w:b/>
          <w:bCs/>
          <w:noProof/>
          <w:szCs w:val="24"/>
        </w:rPr>
        <w:t>Send</w:t>
      </w:r>
      <w:r w:rsidRPr="002516B1">
        <w:rPr>
          <w:rFonts w:cs="Arial"/>
          <w:noProof/>
          <w:szCs w:val="24"/>
        </w:rPr>
        <w:t>.</w:t>
      </w:r>
    </w:p>
    <w:p w14:paraId="52D99C9B" w14:textId="77777777" w:rsidR="003B7246" w:rsidRPr="002516B1" w:rsidRDefault="003B7246" w:rsidP="007A0C73">
      <w:pPr>
        <w:spacing w:line="240" w:lineRule="auto"/>
        <w:rPr>
          <w:rFonts w:cs="Arial"/>
          <w:noProof/>
          <w:szCs w:val="24"/>
        </w:rPr>
      </w:pPr>
    </w:p>
    <w:bookmarkEnd w:id="3"/>
    <w:p w14:paraId="0159C64C" w14:textId="77777777" w:rsidR="003B7246" w:rsidRPr="00612062" w:rsidRDefault="003B7246" w:rsidP="007A0C73">
      <w:pPr>
        <w:pStyle w:val="Heading2"/>
        <w:spacing w:line="240" w:lineRule="auto"/>
        <w:rPr>
          <w:rFonts w:ascii="Arial" w:hAnsi="Arial" w:cs="Arial"/>
          <w:b/>
          <w:bCs/>
          <w:color w:val="auto"/>
          <w:sz w:val="24"/>
          <w:szCs w:val="24"/>
        </w:rPr>
      </w:pPr>
      <w:r w:rsidRPr="00612062">
        <w:rPr>
          <w:rFonts w:ascii="Arial" w:hAnsi="Arial" w:cs="Arial"/>
          <w:b/>
          <w:bCs/>
          <w:color w:val="auto"/>
          <w:sz w:val="24"/>
          <w:szCs w:val="24"/>
        </w:rPr>
        <w:t>Additional Resources:</w:t>
      </w:r>
    </w:p>
    <w:p w14:paraId="6C18F8DF" w14:textId="77777777" w:rsidR="003B7246" w:rsidRPr="002516B1" w:rsidRDefault="003B7246" w:rsidP="007A0C73">
      <w:pPr>
        <w:spacing w:after="120" w:line="240" w:lineRule="auto"/>
        <w:rPr>
          <w:rFonts w:cs="Arial"/>
          <w:szCs w:val="24"/>
        </w:rPr>
      </w:pPr>
    </w:p>
    <w:p w14:paraId="151063C0" w14:textId="77777777" w:rsidR="003B7246" w:rsidRPr="002516B1" w:rsidRDefault="003B7246" w:rsidP="007A0C73">
      <w:pPr>
        <w:spacing w:after="120" w:line="240" w:lineRule="auto"/>
        <w:rPr>
          <w:rStyle w:val="Hyperlink"/>
          <w:rFonts w:cs="Arial"/>
          <w:szCs w:val="24"/>
        </w:rPr>
      </w:pPr>
      <w:r w:rsidRPr="002516B1">
        <w:rPr>
          <w:rFonts w:cs="Arial"/>
          <w:b/>
          <w:bCs/>
          <w:szCs w:val="24"/>
        </w:rPr>
        <w:t>FPDS Data Dictionary</w:t>
      </w:r>
      <w:r w:rsidRPr="002516B1">
        <w:rPr>
          <w:rFonts w:cs="Arial"/>
          <w:szCs w:val="24"/>
        </w:rPr>
        <w:t xml:space="preserve"> - </w:t>
      </w:r>
      <w:hyperlink r:id="rId13" w:tooltip="FPDS Data Dictionary" w:history="1">
        <w:r w:rsidRPr="002516B1">
          <w:rPr>
            <w:rStyle w:val="Hyperlink"/>
            <w:rFonts w:cs="Arial"/>
            <w:szCs w:val="24"/>
          </w:rPr>
          <w:t>https://www.fpds.gov/downloads/Version_1.5_specs/FPDS_DataDictionary_V1.5.pdf</w:t>
        </w:r>
      </w:hyperlink>
    </w:p>
    <w:p w14:paraId="30CF6896" w14:textId="77777777" w:rsidR="003B7246" w:rsidRPr="002516B1" w:rsidRDefault="003B7246" w:rsidP="007A0C73">
      <w:pPr>
        <w:spacing w:line="240" w:lineRule="auto"/>
        <w:rPr>
          <w:rFonts w:cs="Arial"/>
          <w:szCs w:val="24"/>
        </w:rPr>
      </w:pPr>
      <w:r w:rsidRPr="002516B1">
        <w:rPr>
          <w:rFonts w:cs="Arial"/>
          <w:b/>
          <w:bCs/>
          <w:szCs w:val="24"/>
        </w:rPr>
        <w:t>Tips for Error-Free FPDS Reporting</w:t>
      </w:r>
      <w:r w:rsidRPr="002516B1">
        <w:rPr>
          <w:rFonts w:cs="Arial"/>
          <w:szCs w:val="24"/>
        </w:rPr>
        <w:t xml:space="preserve"> – </w:t>
      </w:r>
      <w:hyperlink r:id="rId14" w:history="1">
        <w:r w:rsidRPr="002516B1">
          <w:rPr>
            <w:rStyle w:val="Hyperlink"/>
            <w:rFonts w:cs="Arial"/>
            <w:szCs w:val="24"/>
          </w:rPr>
          <w:t>https://oalmsps.od.nih.gov/DDO/CDMP/FDCResolutions/SitePages/Home.aspx</w:t>
        </w:r>
      </w:hyperlink>
    </w:p>
    <w:p w14:paraId="1FEBFFF0" w14:textId="407A25E8" w:rsidR="003B7246" w:rsidRPr="002516B1" w:rsidRDefault="003B7246" w:rsidP="007A0C73">
      <w:pPr>
        <w:spacing w:line="240" w:lineRule="auto"/>
        <w:jc w:val="both"/>
        <w:rPr>
          <w:rFonts w:cs="Arial"/>
          <w:szCs w:val="24"/>
        </w:rPr>
      </w:pPr>
      <w:r w:rsidRPr="002516B1">
        <w:rPr>
          <w:rFonts w:cs="Arial"/>
          <w:szCs w:val="24"/>
        </w:rPr>
        <w:t>CDMP SharePoint Site. VPN required. At sign-in select Windows Authentication.</w:t>
      </w:r>
    </w:p>
    <w:p w14:paraId="290CFF3D" w14:textId="77777777" w:rsidR="003B7246" w:rsidRPr="002516B1" w:rsidRDefault="003B7246" w:rsidP="007A0C73">
      <w:pPr>
        <w:spacing w:line="240" w:lineRule="auto"/>
        <w:jc w:val="both"/>
        <w:rPr>
          <w:rFonts w:cs="Arial"/>
          <w:szCs w:val="24"/>
        </w:rPr>
      </w:pPr>
    </w:p>
    <w:p w14:paraId="3BC64B91" w14:textId="77777777" w:rsidR="003B7246" w:rsidRPr="00612062" w:rsidRDefault="003B7246" w:rsidP="007A0C73">
      <w:pPr>
        <w:spacing w:line="240" w:lineRule="auto"/>
        <w:jc w:val="both"/>
        <w:rPr>
          <w:rFonts w:cs="Arial"/>
          <w:szCs w:val="24"/>
        </w:rPr>
      </w:pPr>
      <w:r w:rsidRPr="00612062">
        <w:rPr>
          <w:rFonts w:cs="Arial"/>
          <w:szCs w:val="24"/>
        </w:rPr>
        <w:t xml:space="preserve">The </w:t>
      </w:r>
      <w:proofErr w:type="spellStart"/>
      <w:r w:rsidRPr="00612062">
        <w:rPr>
          <w:rFonts w:cs="Arial"/>
          <w:szCs w:val="24"/>
        </w:rPr>
        <w:t>FedDataCheck</w:t>
      </w:r>
      <w:proofErr w:type="spellEnd"/>
      <w:r w:rsidRPr="00612062">
        <w:rPr>
          <w:rFonts w:cs="Arial"/>
          <w:szCs w:val="24"/>
        </w:rPr>
        <w:t xml:space="preserve"> (FDC) Tool is a product of Potomac Wave Consulting. The tool automatically scans FPDS for data inconsistencies such as FAR violations, Statutory/Legislative violations, and other data inconsistencies. Contracting Officials are alerted via email when a violation or data inconsistency occurs.</w:t>
      </w:r>
    </w:p>
    <w:p w14:paraId="29FCF889" w14:textId="77777777" w:rsidR="002516B1" w:rsidRPr="003B7246" w:rsidRDefault="002516B1" w:rsidP="007A0C73">
      <w:pPr>
        <w:spacing w:line="240" w:lineRule="auto"/>
      </w:pPr>
    </w:p>
    <w:p w14:paraId="588E725B" w14:textId="328B7292" w:rsidR="00920FFB" w:rsidRPr="00920FFB" w:rsidRDefault="003B7246" w:rsidP="007A0C73">
      <w:pPr>
        <w:pStyle w:val="Heading1"/>
        <w:spacing w:line="240" w:lineRule="auto"/>
        <w:rPr>
          <w:rFonts w:eastAsia="Times New Roman"/>
        </w:rPr>
      </w:pPr>
      <w:r>
        <w:rPr>
          <w:rFonts w:eastAsia="Times New Roman"/>
        </w:rPr>
        <w:t>New Training Available – Buy American Non-Availability Waivers</w:t>
      </w:r>
    </w:p>
    <w:p w14:paraId="58DD1141" w14:textId="33EBBE02" w:rsidR="005534BE" w:rsidRDefault="005534BE" w:rsidP="007A0C73">
      <w:pPr>
        <w:spacing w:line="240" w:lineRule="auto"/>
      </w:pPr>
    </w:p>
    <w:p w14:paraId="74DFDD5A" w14:textId="77777777" w:rsidR="005534BE" w:rsidRDefault="005534BE" w:rsidP="007A0C73">
      <w:pPr>
        <w:spacing w:line="240" w:lineRule="auto"/>
      </w:pPr>
      <w:r>
        <w:t xml:space="preserve">On January 25, 2021, the President signed </w:t>
      </w:r>
      <w:hyperlink r:id="rId15" w:history="1">
        <w:r w:rsidRPr="00306782">
          <w:rPr>
            <w:rStyle w:val="Hyperlink"/>
          </w:rPr>
          <w:t>Executive Order 14005</w:t>
        </w:r>
      </w:hyperlink>
      <w:r>
        <w:t>, “</w:t>
      </w:r>
      <w:r w:rsidRPr="00E94971">
        <w:t>Ensuring the Future is Made in All of America by All of America’s Workers</w:t>
      </w:r>
      <w:r>
        <w:t xml:space="preserve">.”  This EO was the catalyst to create a series of actions to enable Federal Agencies to maximize the use of good, products, and material produced in the U.S.  On March 7, 2022, the FAR council published </w:t>
      </w:r>
      <w:hyperlink r:id="rId16" w:history="1">
        <w:r w:rsidRPr="00306782">
          <w:rPr>
            <w:rStyle w:val="Hyperlink"/>
          </w:rPr>
          <w:t>FAR Rule 2021-008</w:t>
        </w:r>
      </w:hyperlink>
      <w:r>
        <w:t xml:space="preserve">, which included changes to the </w:t>
      </w:r>
      <w:r>
        <w:lastRenderedPageBreak/>
        <w:t xml:space="preserve">requirements of the Buy American statute.  In response to these complex changes, FAI released a training video, </w:t>
      </w:r>
      <w:hyperlink r:id="rId17" w:history="1">
        <w:r w:rsidRPr="00306782">
          <w:rPr>
            <w:rStyle w:val="Hyperlink"/>
          </w:rPr>
          <w:t>Amendments to the FAR Buy American Requirements</w:t>
        </w:r>
      </w:hyperlink>
      <w:r>
        <w:t xml:space="preserve"> and FAC 097: Navigating Buy American and Trade Agreements.</w:t>
      </w:r>
    </w:p>
    <w:p w14:paraId="75E532EE" w14:textId="6590EEE5" w:rsidR="005534BE" w:rsidRDefault="005534BE" w:rsidP="007A0C73">
      <w:pPr>
        <w:spacing w:line="240" w:lineRule="auto"/>
      </w:pPr>
    </w:p>
    <w:p w14:paraId="0429B8B6" w14:textId="77777777" w:rsidR="002516B1" w:rsidRPr="00D7138E" w:rsidRDefault="002516B1" w:rsidP="007A0C73">
      <w:pPr>
        <w:spacing w:line="240" w:lineRule="auto"/>
      </w:pPr>
    </w:p>
    <w:p w14:paraId="0B506389" w14:textId="0A1495FB" w:rsidR="00DA010B" w:rsidRDefault="000B2FA4" w:rsidP="007A0C73">
      <w:pPr>
        <w:pStyle w:val="Heading1"/>
        <w:spacing w:before="0" w:line="240" w:lineRule="auto"/>
      </w:pPr>
      <w:bookmarkStart w:id="4" w:name="_Hlk62120374"/>
      <w:bookmarkEnd w:id="1"/>
      <w:r>
        <w:t>Accessibility Features that Benefit Everyone</w:t>
      </w:r>
    </w:p>
    <w:p w14:paraId="3FB6C7B9" w14:textId="6656ABC4" w:rsidR="00DA010B" w:rsidRDefault="00DA010B" w:rsidP="007A0C73">
      <w:pPr>
        <w:spacing w:line="240" w:lineRule="auto"/>
      </w:pPr>
    </w:p>
    <w:p w14:paraId="2D81BD7E" w14:textId="77777777" w:rsidR="000B2FA4" w:rsidRDefault="000B2FA4" w:rsidP="007A0C73">
      <w:pPr>
        <w:spacing w:line="240" w:lineRule="auto"/>
      </w:pPr>
      <w:r>
        <w:t>There are a many accessibility features in Microsoft Office programs that benefit everyone, for example…</w:t>
      </w:r>
    </w:p>
    <w:tbl>
      <w:tblPr>
        <w:tblStyle w:val="GridTable1Light-Accent6"/>
        <w:tblW w:w="0" w:type="auto"/>
        <w:tblLook w:val="04A0" w:firstRow="1" w:lastRow="0" w:firstColumn="1" w:lastColumn="0" w:noHBand="0" w:noVBand="1"/>
      </w:tblPr>
      <w:tblGrid>
        <w:gridCol w:w="2605"/>
        <w:gridCol w:w="8185"/>
      </w:tblGrid>
      <w:tr w:rsidR="000B2FA4" w14:paraId="6EFCBEBB" w14:textId="77777777" w:rsidTr="00EF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54F4A16" w14:textId="77777777" w:rsidR="000B2FA4" w:rsidRDefault="000B2FA4" w:rsidP="007A0C73">
            <w:pPr>
              <w:pStyle w:val="Heading1"/>
              <w:spacing w:line="240" w:lineRule="auto"/>
              <w:outlineLvl w:val="0"/>
            </w:pPr>
            <w:r>
              <w:t>Read Aloud</w:t>
            </w:r>
          </w:p>
          <w:p w14:paraId="2DDA1A7D" w14:textId="77777777" w:rsidR="000B2FA4" w:rsidRDefault="000B2FA4" w:rsidP="007A0C73">
            <w:pPr>
              <w:pStyle w:val="Heading1"/>
              <w:spacing w:line="240" w:lineRule="auto"/>
              <w:outlineLvl w:val="0"/>
            </w:pPr>
            <w:r>
              <w:rPr>
                <w:noProof/>
              </w:rPr>
              <w:drawing>
                <wp:inline distT="0" distB="0" distL="0" distR="0" wp14:anchorId="07DA2DEA" wp14:editId="582030AA">
                  <wp:extent cx="552450" cy="676275"/>
                  <wp:effectExtent l="76200" t="76200" r="133350" b="142875"/>
                  <wp:docPr id="13" name="Picture 13" descr="Read Aloud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ad Aloud (Speech)"/>
                          <pic:cNvPicPr/>
                        </pic:nvPicPr>
                        <pic:blipFill>
                          <a:blip r:embed="rId18"/>
                          <a:stretch>
                            <a:fillRect/>
                          </a:stretch>
                        </pic:blipFill>
                        <pic:spPr>
                          <a:xfrm>
                            <a:off x="0" y="0"/>
                            <a:ext cx="552988" cy="676934"/>
                          </a:xfrm>
                          <a:prstGeom prst="rect">
                            <a:avLst/>
                          </a:prstGeom>
                          <a:ln w="38100" cap="sq">
                            <a:solidFill>
                              <a:schemeClr val="accent6"/>
                            </a:solidFill>
                            <a:prstDash val="solid"/>
                            <a:miter lim="800000"/>
                          </a:ln>
                          <a:effectLst>
                            <a:outerShdw blurRad="50800" dist="38100" dir="2700000" algn="tl" rotWithShape="0">
                              <a:srgbClr val="000000">
                                <a:alpha val="43000"/>
                              </a:srgbClr>
                            </a:outerShdw>
                          </a:effectLst>
                        </pic:spPr>
                      </pic:pic>
                    </a:graphicData>
                  </a:graphic>
                </wp:inline>
              </w:drawing>
            </w:r>
          </w:p>
        </w:tc>
        <w:tc>
          <w:tcPr>
            <w:tcW w:w="8185" w:type="dxa"/>
          </w:tcPr>
          <w:p w14:paraId="233707DA"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r w:rsidRPr="00BF7A41">
              <w:t>Review</w:t>
            </w:r>
            <w:r>
              <w:t xml:space="preserve"> &gt; </w:t>
            </w:r>
            <w:r w:rsidRPr="00BF7A41">
              <w:rPr>
                <w:b w:val="0"/>
                <w:bCs w:val="0"/>
                <w:color w:val="0070C0"/>
              </w:rPr>
              <w:t>Read</w:t>
            </w:r>
            <w:r w:rsidRPr="00BF7A41">
              <w:rPr>
                <w:color w:val="0070C0"/>
              </w:rPr>
              <w:t xml:space="preserve"> </w:t>
            </w:r>
            <w:r w:rsidRPr="00BF7A41">
              <w:rPr>
                <w:b w:val="0"/>
                <w:bCs w:val="0"/>
                <w:color w:val="0070C0"/>
              </w:rPr>
              <w:t>Aloud</w:t>
            </w:r>
            <w:r w:rsidRPr="00BF7A41">
              <w:rPr>
                <w:color w:val="0070C0"/>
              </w:rPr>
              <w:t xml:space="preserve"> (</w:t>
            </w:r>
            <w:r w:rsidRPr="00BF7A41">
              <w:rPr>
                <w:b w:val="0"/>
                <w:bCs w:val="0"/>
                <w:color w:val="0070C0"/>
              </w:rPr>
              <w:t>ALT +CTRL + Space</w:t>
            </w:r>
            <w:r w:rsidRPr="00BF7A41">
              <w:rPr>
                <w:color w:val="0070C0"/>
              </w:rPr>
              <w:t xml:space="preserve">) </w:t>
            </w:r>
            <w:r>
              <w:t xml:space="preserve">– Microsoft Word </w:t>
            </w:r>
          </w:p>
          <w:p w14:paraId="1134F2E4"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p>
          <w:p w14:paraId="3756CD40"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r w:rsidRPr="00BF7A41">
              <w:t>Message</w:t>
            </w:r>
            <w:r>
              <w:t xml:space="preserve"> &gt; </w:t>
            </w:r>
            <w:r w:rsidRPr="00BF7A41">
              <w:rPr>
                <w:b w:val="0"/>
                <w:bCs w:val="0"/>
                <w:color w:val="0070C0"/>
              </w:rPr>
              <w:t>Read</w:t>
            </w:r>
            <w:r>
              <w:t xml:space="preserve"> </w:t>
            </w:r>
            <w:r w:rsidRPr="00BF7A41">
              <w:rPr>
                <w:b w:val="0"/>
                <w:bCs w:val="0"/>
                <w:color w:val="0070C0"/>
              </w:rPr>
              <w:t>Aloud</w:t>
            </w:r>
            <w:r>
              <w:t xml:space="preserve"> – Microsoft Outlook</w:t>
            </w:r>
          </w:p>
          <w:p w14:paraId="180CE17A"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p>
          <w:p w14:paraId="4132B4E6"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r w:rsidRPr="00E85116">
              <w:rPr>
                <w:b w:val="0"/>
                <w:bCs w:val="0"/>
              </w:rPr>
              <w:t>There are many reasons to listen to a document, such as proofreading, multitasking, or increased comprehension and learning.</w:t>
            </w:r>
            <w:r>
              <w:t xml:space="preserve"> </w:t>
            </w:r>
            <w:r w:rsidRPr="00E85116">
              <w:rPr>
                <w:b w:val="0"/>
                <w:bCs w:val="0"/>
              </w:rPr>
              <w:t>Listen to email messages or Word documents.</w:t>
            </w:r>
          </w:p>
          <w:p w14:paraId="5152C281"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p>
        </w:tc>
      </w:tr>
    </w:tbl>
    <w:p w14:paraId="712DED0A" w14:textId="77777777" w:rsidR="000B2FA4" w:rsidRDefault="000B2FA4" w:rsidP="007A0C73">
      <w:pPr>
        <w:spacing w:line="240" w:lineRule="auto"/>
      </w:pPr>
    </w:p>
    <w:tbl>
      <w:tblPr>
        <w:tblStyle w:val="GridTable1Light-Accent4"/>
        <w:tblW w:w="0" w:type="auto"/>
        <w:tblLook w:val="04A0" w:firstRow="1" w:lastRow="0" w:firstColumn="1" w:lastColumn="0" w:noHBand="0" w:noVBand="1"/>
      </w:tblPr>
      <w:tblGrid>
        <w:gridCol w:w="7915"/>
        <w:gridCol w:w="2875"/>
      </w:tblGrid>
      <w:tr w:rsidR="000B2FA4" w14:paraId="67E5287D" w14:textId="77777777" w:rsidTr="00EF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09EB8210" w14:textId="77777777" w:rsidR="000B2FA4" w:rsidRDefault="000B2FA4" w:rsidP="007A0C73">
            <w:r w:rsidRPr="00BF7A41">
              <w:t>Home</w:t>
            </w:r>
            <w:r>
              <w:t xml:space="preserve"> &gt; </w:t>
            </w:r>
            <w:r w:rsidRPr="00BF7A41">
              <w:rPr>
                <w:b w:val="0"/>
                <w:bCs w:val="0"/>
                <w:color w:val="0070C0"/>
              </w:rPr>
              <w:t>Dictate (ALT +`)</w:t>
            </w:r>
            <w:r w:rsidRPr="00511C62">
              <w:t xml:space="preserve"> </w:t>
            </w:r>
            <w:r>
              <w:t>– Microsoft Word / Outlook / PowerPoint</w:t>
            </w:r>
          </w:p>
          <w:p w14:paraId="2AE942CE" w14:textId="77777777" w:rsidR="000B2FA4" w:rsidRDefault="000B2FA4" w:rsidP="007A0C73"/>
          <w:p w14:paraId="51B4AC01" w14:textId="77777777" w:rsidR="000B2FA4" w:rsidRDefault="000B2FA4" w:rsidP="007A0C73">
            <w:pPr>
              <w:rPr>
                <w:b w:val="0"/>
                <w:bCs w:val="0"/>
                <w:color w:val="0070C0"/>
              </w:rPr>
            </w:pPr>
            <w:r w:rsidRPr="00E85116">
              <w:rPr>
                <w:b w:val="0"/>
                <w:bCs w:val="0"/>
              </w:rPr>
              <w:t xml:space="preserve">Use Dictate to record speech to written word. For example, </w:t>
            </w:r>
            <w:r w:rsidRPr="00E85116">
              <w:rPr>
                <w:b w:val="0"/>
                <w:bCs w:val="0"/>
                <w:color w:val="0070C0"/>
              </w:rPr>
              <w:t>“</w:t>
            </w:r>
            <w:r w:rsidRPr="00BF7A41">
              <w:rPr>
                <w:rFonts w:asciiTheme="minorHAnsi" w:hAnsiTheme="minorHAnsi" w:cstheme="minorHAnsi"/>
                <w:b w:val="0"/>
                <w:bCs w:val="0"/>
                <w:i/>
                <w:iCs/>
                <w:color w:val="0070C0"/>
              </w:rPr>
              <w:t>I created this sentence using Dictate</w:t>
            </w:r>
            <w:r w:rsidRPr="00E85116">
              <w:rPr>
                <w:color w:val="0070C0"/>
              </w:rPr>
              <w:t xml:space="preserve">.” </w:t>
            </w:r>
          </w:p>
          <w:p w14:paraId="1B379408" w14:textId="77777777" w:rsidR="000B2FA4" w:rsidRDefault="000B2FA4" w:rsidP="007A0C73">
            <w:pPr>
              <w:rPr>
                <w:b w:val="0"/>
                <w:bCs w:val="0"/>
                <w:color w:val="0070C0"/>
              </w:rPr>
            </w:pPr>
          </w:p>
          <w:p w14:paraId="3E36BF70" w14:textId="77777777" w:rsidR="000B2FA4" w:rsidRDefault="000B2FA4" w:rsidP="007A0C73">
            <w:r w:rsidRPr="00E85116">
              <w:rPr>
                <w:b w:val="0"/>
                <w:bCs w:val="0"/>
              </w:rPr>
              <w:t>Dictate email messages, PowerPoint slides, and Word documents.</w:t>
            </w:r>
          </w:p>
        </w:tc>
        <w:tc>
          <w:tcPr>
            <w:tcW w:w="2875" w:type="dxa"/>
          </w:tcPr>
          <w:p w14:paraId="555AFEEF" w14:textId="77777777" w:rsidR="000B2FA4" w:rsidRDefault="000B2FA4" w:rsidP="007A0C73">
            <w:pPr>
              <w:pStyle w:val="Heading1"/>
              <w:spacing w:line="240" w:lineRule="auto"/>
              <w:outlineLvl w:val="0"/>
              <w:cnfStyle w:val="100000000000" w:firstRow="1" w:lastRow="0" w:firstColumn="0" w:lastColumn="0" w:oddVBand="0" w:evenVBand="0" w:oddHBand="0" w:evenHBand="0" w:firstRowFirstColumn="0" w:firstRowLastColumn="0" w:lastRowFirstColumn="0" w:lastRowLastColumn="0"/>
            </w:pPr>
            <w:r>
              <w:t>Dictate</w:t>
            </w:r>
          </w:p>
          <w:p w14:paraId="1EF2E919" w14:textId="77777777" w:rsidR="000B2FA4" w:rsidRDefault="000B2FA4" w:rsidP="007A0C73">
            <w:pPr>
              <w:spacing w:before="120"/>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65F7CE9C" wp14:editId="6EBE233E">
                  <wp:extent cx="600075" cy="771525"/>
                  <wp:effectExtent l="76200" t="76200" r="142875" b="142875"/>
                  <wp:docPr id="14" name="Picture 14" descr="Dictate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ctate (Voice)"/>
                          <pic:cNvPicPr/>
                        </pic:nvPicPr>
                        <pic:blipFill>
                          <a:blip r:embed="rId19"/>
                          <a:stretch>
                            <a:fillRect/>
                          </a:stretch>
                        </pic:blipFill>
                        <pic:spPr>
                          <a:xfrm>
                            <a:off x="0" y="0"/>
                            <a:ext cx="600590" cy="772187"/>
                          </a:xfrm>
                          <a:prstGeom prst="rect">
                            <a:avLst/>
                          </a:prstGeom>
                          <a:ln w="38100" cap="sq">
                            <a:solidFill>
                              <a:schemeClr val="accent4"/>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5D4F3D64" w14:textId="77777777" w:rsidR="000B2FA4" w:rsidRDefault="000B2FA4" w:rsidP="007A0C73">
      <w:pPr>
        <w:spacing w:line="240" w:lineRule="auto"/>
      </w:pPr>
    </w:p>
    <w:tbl>
      <w:tblPr>
        <w:tblStyle w:val="GridTable1Light-Accent1"/>
        <w:tblW w:w="0" w:type="auto"/>
        <w:tblLook w:val="04A0" w:firstRow="1" w:lastRow="0" w:firstColumn="1" w:lastColumn="0" w:noHBand="0" w:noVBand="1"/>
      </w:tblPr>
      <w:tblGrid>
        <w:gridCol w:w="3055"/>
        <w:gridCol w:w="7735"/>
      </w:tblGrid>
      <w:tr w:rsidR="000B2FA4" w14:paraId="1C6740F2" w14:textId="77777777" w:rsidTr="00EF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3F31A71" w14:textId="77777777" w:rsidR="000B2FA4" w:rsidRDefault="000B2FA4" w:rsidP="007A0C73">
            <w:pPr>
              <w:pStyle w:val="Heading1"/>
              <w:spacing w:line="240" w:lineRule="auto"/>
              <w:outlineLvl w:val="0"/>
            </w:pPr>
            <w:r>
              <w:t>Styles / Navigation Pane</w:t>
            </w:r>
          </w:p>
          <w:p w14:paraId="604A3737" w14:textId="77777777" w:rsidR="000B2FA4" w:rsidRDefault="000B2FA4" w:rsidP="007A0C73">
            <w:pPr>
              <w:spacing w:before="120"/>
              <w:jc w:val="center"/>
            </w:pPr>
            <w:r>
              <w:rPr>
                <w:noProof/>
              </w:rPr>
              <w:drawing>
                <wp:inline distT="0" distB="0" distL="0" distR="0" wp14:anchorId="0F5AE2EF" wp14:editId="2CC0A366">
                  <wp:extent cx="1066800" cy="742950"/>
                  <wp:effectExtent l="76200" t="76200" r="133350" b="133350"/>
                  <wp:docPr id="15" name="Picture 15" descr="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vigation Pane"/>
                          <pic:cNvPicPr/>
                        </pic:nvPicPr>
                        <pic:blipFill>
                          <a:blip r:embed="rId20"/>
                          <a:stretch>
                            <a:fillRect/>
                          </a:stretch>
                        </pic:blipFill>
                        <pic:spPr>
                          <a:xfrm>
                            <a:off x="0" y="0"/>
                            <a:ext cx="1069584" cy="744889"/>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p>
        </w:tc>
        <w:tc>
          <w:tcPr>
            <w:tcW w:w="7735" w:type="dxa"/>
          </w:tcPr>
          <w:p w14:paraId="1A3534D7"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r>
              <w:t xml:space="preserve"> Home &gt; Styles, </w:t>
            </w:r>
            <w:r w:rsidRPr="00BF7A41">
              <w:t>View</w:t>
            </w:r>
            <w:r>
              <w:t xml:space="preserve"> &gt; </w:t>
            </w:r>
            <w:r w:rsidRPr="00E85116">
              <w:rPr>
                <w:rFonts w:asciiTheme="minorHAnsi" w:hAnsiTheme="minorHAnsi" w:cstheme="minorHAnsi"/>
                <w:i/>
                <w:iCs/>
              </w:rPr>
              <w:t>check</w:t>
            </w:r>
            <w:r>
              <w:t xml:space="preserve"> </w:t>
            </w:r>
            <w:r w:rsidRPr="00BF7A41">
              <w:rPr>
                <w:b w:val="0"/>
                <w:bCs w:val="0"/>
                <w:color w:val="0070C0"/>
              </w:rPr>
              <w:t>Navigation</w:t>
            </w:r>
          </w:p>
          <w:p w14:paraId="0638D940"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p>
          <w:p w14:paraId="4DF3281E" w14:textId="77777777" w:rsidR="000B2FA4" w:rsidRPr="00E85116" w:rsidRDefault="000B2FA4" w:rsidP="007A0C7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Once you</w:t>
            </w:r>
            <w:r w:rsidRPr="00E85116">
              <w:rPr>
                <w:b w:val="0"/>
                <w:bCs w:val="0"/>
              </w:rPr>
              <w:t xml:space="preserve"> create document </w:t>
            </w:r>
            <w:r>
              <w:rPr>
                <w:b w:val="0"/>
                <w:bCs w:val="0"/>
              </w:rPr>
              <w:t>headers (</w:t>
            </w:r>
            <w:r w:rsidRPr="005F6429">
              <w:rPr>
                <w:rFonts w:asciiTheme="minorHAnsi" w:hAnsiTheme="minorHAnsi" w:cstheme="minorHAnsi"/>
                <w:b w:val="0"/>
                <w:bCs w:val="0"/>
                <w:i/>
                <w:iCs/>
              </w:rPr>
              <w:t>headings</w:t>
            </w:r>
            <w:r>
              <w:rPr>
                <w:b w:val="0"/>
                <w:bCs w:val="0"/>
              </w:rPr>
              <w:t>)</w:t>
            </w:r>
            <w:r w:rsidRPr="00E85116">
              <w:rPr>
                <w:b w:val="0"/>
                <w:bCs w:val="0"/>
              </w:rPr>
              <w:t xml:space="preserve"> using the </w:t>
            </w:r>
            <w:hyperlink r:id="rId21" w:anchor=":~:text=Right%2Dclick%20the%20text%20on,appear%20in%20the%20Styles%20gallery." w:tooltip="Customize or Create Styles in Microsoft Word" w:history="1">
              <w:r w:rsidRPr="005F6429">
                <w:rPr>
                  <w:rStyle w:val="Hyperlink"/>
                  <w:b w:val="0"/>
                  <w:bCs w:val="0"/>
                </w:rPr>
                <w:t>Styles</w:t>
              </w:r>
            </w:hyperlink>
            <w:r w:rsidRPr="00E85116">
              <w:rPr>
                <w:b w:val="0"/>
                <w:bCs w:val="0"/>
              </w:rPr>
              <w:t xml:space="preserve"> menu option in Word or Outlook</w:t>
            </w:r>
            <w:r>
              <w:rPr>
                <w:b w:val="0"/>
                <w:bCs w:val="0"/>
              </w:rPr>
              <w:t xml:space="preserve"> - </w:t>
            </w:r>
            <w:r w:rsidRPr="00E85116">
              <w:rPr>
                <w:b w:val="0"/>
                <w:bCs w:val="0"/>
              </w:rPr>
              <w:t xml:space="preserve"> </w:t>
            </w:r>
          </w:p>
          <w:p w14:paraId="0456E5C3" w14:textId="77777777" w:rsidR="000B2FA4" w:rsidRDefault="000B2FA4" w:rsidP="007A0C73">
            <w:pPr>
              <w:cnfStyle w:val="100000000000" w:firstRow="1" w:lastRow="0" w:firstColumn="0" w:lastColumn="0" w:oddVBand="0" w:evenVBand="0" w:oddHBand="0" w:evenHBand="0" w:firstRowFirstColumn="0" w:firstRowLastColumn="0" w:lastRowFirstColumn="0" w:lastRowLastColumn="0"/>
            </w:pPr>
          </w:p>
          <w:p w14:paraId="14B91BAC" w14:textId="77777777" w:rsidR="000B2FA4" w:rsidRDefault="000B2FA4" w:rsidP="007A0C73">
            <w:pPr>
              <w:spacing w:after="120"/>
              <w:cnfStyle w:val="100000000000" w:firstRow="1" w:lastRow="0" w:firstColumn="0" w:lastColumn="0" w:oddVBand="0" w:evenVBand="0" w:oddHBand="0" w:evenHBand="0" w:firstRowFirstColumn="0" w:firstRowLastColumn="0" w:lastRowFirstColumn="0" w:lastRowLastColumn="0"/>
            </w:pPr>
            <w:r>
              <w:rPr>
                <w:b w:val="0"/>
                <w:bCs w:val="0"/>
              </w:rPr>
              <w:t>H</w:t>
            </w:r>
            <w:r w:rsidRPr="00E85116">
              <w:rPr>
                <w:b w:val="0"/>
                <w:bCs w:val="0"/>
              </w:rPr>
              <w:t>eadings appear in the</w:t>
            </w:r>
            <w:r>
              <w:t xml:space="preserve"> </w:t>
            </w:r>
            <w:hyperlink r:id="rId22" w:history="1">
              <w:r>
                <w:rPr>
                  <w:rStyle w:val="Hyperlink"/>
                </w:rPr>
                <w:t>Navigation Pane</w:t>
              </w:r>
            </w:hyperlink>
            <w:r>
              <w:t xml:space="preserve">, </w:t>
            </w:r>
            <w:r w:rsidRPr="00E85116">
              <w:rPr>
                <w:b w:val="0"/>
                <w:bCs w:val="0"/>
              </w:rPr>
              <w:t>allowing users to quickly find, re-arrange, or remove document sections (MS Word).</w:t>
            </w:r>
          </w:p>
        </w:tc>
      </w:tr>
    </w:tbl>
    <w:p w14:paraId="403344E1" w14:textId="77777777" w:rsidR="000B2FA4" w:rsidRDefault="000B2FA4" w:rsidP="007A0C73">
      <w:pPr>
        <w:spacing w:line="240" w:lineRule="auto"/>
      </w:pPr>
    </w:p>
    <w:tbl>
      <w:tblPr>
        <w:tblStyle w:val="GridTable1Light-Accent2"/>
        <w:tblW w:w="0" w:type="auto"/>
        <w:tblLook w:val="04A0" w:firstRow="1" w:lastRow="0" w:firstColumn="1" w:lastColumn="0" w:noHBand="0" w:noVBand="1"/>
      </w:tblPr>
      <w:tblGrid>
        <w:gridCol w:w="7915"/>
        <w:gridCol w:w="2875"/>
      </w:tblGrid>
      <w:tr w:rsidR="000B2FA4" w14:paraId="56DB8614" w14:textId="77777777" w:rsidTr="00EF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09E631BA" w14:textId="77777777" w:rsidR="000B2FA4" w:rsidRDefault="000B2FA4" w:rsidP="007A0C73">
            <w:r w:rsidRPr="00BF7A41">
              <w:t>View</w:t>
            </w:r>
            <w:r>
              <w:t xml:space="preserve"> &gt; </w:t>
            </w:r>
            <w:proofErr w:type="gramStart"/>
            <w:r w:rsidRPr="00BF7A41">
              <w:rPr>
                <w:b w:val="0"/>
                <w:bCs w:val="0"/>
                <w:color w:val="0070C0"/>
              </w:rPr>
              <w:t>Zoom</w:t>
            </w:r>
            <w:r>
              <w:t xml:space="preserve"> </w:t>
            </w:r>
            <w:r w:rsidRPr="00511C62">
              <w:t xml:space="preserve"> </w:t>
            </w:r>
            <w:r>
              <w:t>–</w:t>
            </w:r>
            <w:proofErr w:type="gramEnd"/>
            <w:r>
              <w:t xml:space="preserve"> Microsoft Office 365</w:t>
            </w:r>
          </w:p>
          <w:p w14:paraId="5F0E52B5" w14:textId="77777777" w:rsidR="000B2FA4" w:rsidRDefault="000B2FA4" w:rsidP="007A0C73"/>
          <w:p w14:paraId="4387D50D" w14:textId="77777777" w:rsidR="000B2FA4" w:rsidRPr="00E85116" w:rsidRDefault="000B2FA4" w:rsidP="007A0C73">
            <w:pPr>
              <w:rPr>
                <w:b w:val="0"/>
                <w:bCs w:val="0"/>
              </w:rPr>
            </w:pPr>
            <w:r w:rsidRPr="00E85116">
              <w:rPr>
                <w:b w:val="0"/>
                <w:bCs w:val="0"/>
              </w:rPr>
              <w:t>Use Zoom to increase or decrease the size of the information presented on the screen.</w:t>
            </w:r>
          </w:p>
          <w:p w14:paraId="4D0531C2" w14:textId="77777777" w:rsidR="000B2FA4" w:rsidRDefault="000B2FA4" w:rsidP="007A0C73"/>
          <w:p w14:paraId="5B52B7BE" w14:textId="77777777" w:rsidR="000B2FA4" w:rsidRDefault="000B2FA4" w:rsidP="007A0C73">
            <w:pPr>
              <w:spacing w:after="120"/>
            </w:pPr>
            <w:bookmarkStart w:id="5" w:name="_Hlk110956630"/>
            <w:r>
              <w:lastRenderedPageBreak/>
              <w:t xml:space="preserve">Tip! </w:t>
            </w:r>
            <w:r w:rsidRPr="00E85116">
              <w:rPr>
                <w:rFonts w:asciiTheme="minorHAnsi" w:hAnsiTheme="minorHAnsi" w:cstheme="minorHAnsi"/>
                <w:b w:val="0"/>
                <w:bCs w:val="0"/>
                <w:i/>
                <w:iCs/>
              </w:rPr>
              <w:t xml:space="preserve">Use when presenting during </w:t>
            </w:r>
            <w:r>
              <w:rPr>
                <w:rFonts w:asciiTheme="minorHAnsi" w:hAnsiTheme="minorHAnsi" w:cstheme="minorHAnsi"/>
                <w:b w:val="0"/>
                <w:bCs w:val="0"/>
                <w:i/>
                <w:iCs/>
              </w:rPr>
              <w:t>a Virtual Meeting</w:t>
            </w:r>
            <w:r w:rsidRPr="00E85116">
              <w:rPr>
                <w:rFonts w:asciiTheme="minorHAnsi" w:hAnsiTheme="minorHAnsi" w:cstheme="minorHAnsi"/>
                <w:b w:val="0"/>
                <w:bCs w:val="0"/>
                <w:i/>
                <w:iCs/>
              </w:rPr>
              <w:t xml:space="preserve"> to help viewers see the information presented.</w:t>
            </w:r>
            <w:bookmarkEnd w:id="5"/>
          </w:p>
        </w:tc>
        <w:tc>
          <w:tcPr>
            <w:tcW w:w="2875" w:type="dxa"/>
          </w:tcPr>
          <w:p w14:paraId="0F5FCCD1" w14:textId="77777777" w:rsidR="000B2FA4" w:rsidRDefault="000B2FA4" w:rsidP="007A0C73">
            <w:pPr>
              <w:pStyle w:val="Heading1"/>
              <w:spacing w:line="240" w:lineRule="auto"/>
              <w:outlineLvl w:val="0"/>
              <w:cnfStyle w:val="100000000000" w:firstRow="1" w:lastRow="0" w:firstColumn="0" w:lastColumn="0" w:oddVBand="0" w:evenVBand="0" w:oddHBand="0" w:evenHBand="0" w:firstRowFirstColumn="0" w:firstRowLastColumn="0" w:lastRowFirstColumn="0" w:lastRowLastColumn="0"/>
            </w:pPr>
            <w:r>
              <w:lastRenderedPageBreak/>
              <w:t>Zoom</w:t>
            </w:r>
          </w:p>
          <w:p w14:paraId="69412AC4" w14:textId="77777777" w:rsidR="000B2FA4" w:rsidRDefault="000B2FA4" w:rsidP="007A0C73">
            <w:pPr>
              <w:jc w:val="center"/>
              <w:cnfStyle w:val="100000000000" w:firstRow="1" w:lastRow="0" w:firstColumn="0" w:lastColumn="0" w:oddVBand="0" w:evenVBand="0" w:oddHBand="0" w:evenHBand="0" w:firstRowFirstColumn="0" w:firstRowLastColumn="0" w:lastRowFirstColumn="0" w:lastRowLastColumn="0"/>
            </w:pPr>
          </w:p>
          <w:p w14:paraId="04128DEE" w14:textId="77777777" w:rsidR="000B2FA4" w:rsidRDefault="000B2FA4" w:rsidP="007A0C73">
            <w:pPr>
              <w:jc w:val="center"/>
              <w:cnfStyle w:val="100000000000" w:firstRow="1" w:lastRow="0" w:firstColumn="0" w:lastColumn="0" w:oddVBand="0" w:evenVBand="0" w:oddHBand="0" w:evenHBand="0" w:firstRowFirstColumn="0" w:firstRowLastColumn="0" w:lastRowFirstColumn="0" w:lastRowLastColumn="0"/>
            </w:pPr>
            <w:r>
              <w:rPr>
                <w:noProof/>
              </w:rPr>
              <w:lastRenderedPageBreak/>
              <w:drawing>
                <wp:inline distT="0" distB="0" distL="0" distR="0" wp14:anchorId="754938D9" wp14:editId="1516D0E6">
                  <wp:extent cx="751771" cy="523875"/>
                  <wp:effectExtent l="76200" t="76200" r="125095" b="123825"/>
                  <wp:docPr id="5" name="Picture 5" descr="Zoo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m 100%"/>
                          <pic:cNvPicPr/>
                        </pic:nvPicPr>
                        <pic:blipFill>
                          <a:blip r:embed="rId23"/>
                          <a:stretch>
                            <a:fillRect/>
                          </a:stretch>
                        </pic:blipFill>
                        <pic:spPr>
                          <a:xfrm>
                            <a:off x="0" y="0"/>
                            <a:ext cx="757701" cy="528008"/>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3EB383F5" w14:textId="204B19FA" w:rsidR="000B2FA4" w:rsidRDefault="000B2FA4" w:rsidP="007A0C73">
      <w:pPr>
        <w:spacing w:line="240" w:lineRule="auto"/>
      </w:pPr>
    </w:p>
    <w:p w14:paraId="7C305745" w14:textId="77777777" w:rsidR="002516B1" w:rsidRDefault="002516B1" w:rsidP="007A0C73">
      <w:pPr>
        <w:spacing w:line="240" w:lineRule="auto"/>
      </w:pPr>
    </w:p>
    <w:p w14:paraId="2608751E" w14:textId="77777777" w:rsidR="000B2FA4" w:rsidRDefault="000B2FA4" w:rsidP="007A0C73">
      <w:pPr>
        <w:spacing w:line="240" w:lineRule="auto"/>
      </w:pPr>
    </w:p>
    <w:p w14:paraId="7EA34F57" w14:textId="35DEB576" w:rsidR="007A0156" w:rsidRPr="000054A6" w:rsidRDefault="000B2FA4" w:rsidP="007A0C73">
      <w:pPr>
        <w:pStyle w:val="Heading1"/>
        <w:spacing w:before="0" w:line="240" w:lineRule="auto"/>
      </w:pPr>
      <w:r>
        <w:t xml:space="preserve">Shopping with the NIH Supply Center Just Got Faster </w:t>
      </w:r>
    </w:p>
    <w:p w14:paraId="5A27B071" w14:textId="77777777" w:rsidR="00D53AE2" w:rsidRDefault="00D53AE2" w:rsidP="007A0C73">
      <w:pPr>
        <w:spacing w:line="240" w:lineRule="auto"/>
      </w:pPr>
    </w:p>
    <w:p w14:paraId="56BBCDFD" w14:textId="45F5123F" w:rsidR="000B2FA4" w:rsidRDefault="000B2FA4" w:rsidP="007A0C73">
      <w:pPr>
        <w:spacing w:line="240" w:lineRule="auto"/>
        <w:rPr>
          <w:rFonts w:cs="Arial"/>
          <w:szCs w:val="24"/>
        </w:rPr>
      </w:pPr>
      <w:r w:rsidRPr="000B2FA4">
        <w:rPr>
          <w:rFonts w:cs="Arial"/>
          <w:szCs w:val="24"/>
        </w:rPr>
        <w:t xml:space="preserve">The Supply Management Branch within the Division of Logistics Services is excited to announce our newest modernization: express checkout at the Self-Service Store! Our new express checkout will allow customers who are purchasing five items or less to check out in a separate aisle, reducing wait times and increasing productivity in supporting the NIH Mission. </w:t>
      </w:r>
    </w:p>
    <w:p w14:paraId="65C9D061" w14:textId="77777777" w:rsidR="000B2FA4" w:rsidRPr="000B2FA4" w:rsidRDefault="000B2FA4" w:rsidP="007A0C73">
      <w:pPr>
        <w:spacing w:line="240" w:lineRule="auto"/>
        <w:rPr>
          <w:rFonts w:cs="Arial"/>
          <w:szCs w:val="24"/>
        </w:rPr>
      </w:pPr>
    </w:p>
    <w:p w14:paraId="7DDA4C1B" w14:textId="0A4BFCBF" w:rsidR="000B2FA4" w:rsidRDefault="000B2FA4" w:rsidP="007A0C73">
      <w:pPr>
        <w:spacing w:line="240" w:lineRule="auto"/>
        <w:rPr>
          <w:rFonts w:cs="Arial"/>
          <w:szCs w:val="24"/>
        </w:rPr>
      </w:pPr>
      <w:r w:rsidRPr="000B2FA4">
        <w:rPr>
          <w:rFonts w:cs="Arial"/>
          <w:szCs w:val="24"/>
        </w:rPr>
        <w:t xml:space="preserve">When you walk into the Self-Service Store to secure your items, our team will be ready to support you when it is particularly busy. A team member will open a new lane for customers who have five items or less and will do the checkout on our new tablet system. This will reduce the time spent in line for all customers and offer the same exemplary service you are used to. </w:t>
      </w:r>
    </w:p>
    <w:p w14:paraId="202BE742" w14:textId="77777777" w:rsidR="000B2FA4" w:rsidRPr="000B2FA4" w:rsidRDefault="000B2FA4" w:rsidP="007A0C73">
      <w:pPr>
        <w:spacing w:line="240" w:lineRule="auto"/>
        <w:rPr>
          <w:rFonts w:cs="Arial"/>
          <w:szCs w:val="24"/>
        </w:rPr>
      </w:pPr>
    </w:p>
    <w:p w14:paraId="3AA6A8E9" w14:textId="4F538779" w:rsidR="000B2FA4" w:rsidRDefault="000B2FA4" w:rsidP="007A0C73">
      <w:pPr>
        <w:spacing w:line="240" w:lineRule="auto"/>
        <w:rPr>
          <w:rFonts w:cs="Arial"/>
          <w:szCs w:val="24"/>
        </w:rPr>
      </w:pPr>
      <w:r w:rsidRPr="000B2FA4">
        <w:rPr>
          <w:rFonts w:cs="Arial"/>
          <w:szCs w:val="24"/>
        </w:rPr>
        <w:t>This is just one of the many modernizations we are working on to improve your shopping experience. We cannot wait to share the exciting initiatives in store for FY23 and thank you for your continuous support!</w:t>
      </w:r>
    </w:p>
    <w:p w14:paraId="52810526" w14:textId="77777777" w:rsidR="000B2FA4" w:rsidRPr="000B2FA4" w:rsidRDefault="000B2FA4" w:rsidP="007A0C73">
      <w:pPr>
        <w:spacing w:line="240" w:lineRule="auto"/>
        <w:rPr>
          <w:rFonts w:cs="Arial"/>
          <w:szCs w:val="24"/>
        </w:rPr>
      </w:pPr>
    </w:p>
    <w:p w14:paraId="26AACB49" w14:textId="67F9A9BC" w:rsidR="000B2FA4" w:rsidRDefault="000B2FA4" w:rsidP="007A0C73">
      <w:pPr>
        <w:spacing w:line="240" w:lineRule="auto"/>
        <w:rPr>
          <w:rFonts w:cs="Arial"/>
          <w:szCs w:val="24"/>
        </w:rPr>
      </w:pPr>
      <w:r w:rsidRPr="000B2FA4">
        <w:rPr>
          <w:rFonts w:cs="Arial"/>
          <w:szCs w:val="24"/>
        </w:rPr>
        <w:t xml:space="preserve">If you would like to receive more information or have any questions, contact our Customer Service Team at </w:t>
      </w:r>
      <w:hyperlink r:id="rId24" w:history="1">
        <w:r w:rsidRPr="000B2FA4">
          <w:rPr>
            <w:rFonts w:cs="Arial"/>
            <w:color w:val="0000FF"/>
            <w:szCs w:val="24"/>
            <w:u w:val="single"/>
          </w:rPr>
          <w:t>NIHSC-CustomerService@od.nih.gov</w:t>
        </w:r>
      </w:hyperlink>
      <w:r w:rsidRPr="000B2FA4">
        <w:rPr>
          <w:rFonts w:cs="Arial"/>
          <w:szCs w:val="24"/>
        </w:rPr>
        <w:t>. Thank you and remember- we are ONE NIH!</w:t>
      </w:r>
    </w:p>
    <w:p w14:paraId="6FF18A14" w14:textId="77777777" w:rsidR="002516B1" w:rsidRPr="000B2FA4" w:rsidRDefault="002516B1" w:rsidP="007A0C73">
      <w:pPr>
        <w:spacing w:line="240" w:lineRule="auto"/>
        <w:rPr>
          <w:rFonts w:cs="Arial"/>
          <w:szCs w:val="24"/>
        </w:rPr>
      </w:pPr>
    </w:p>
    <w:p w14:paraId="160A1F74" w14:textId="77777777" w:rsidR="00DA010B" w:rsidRPr="006952F5" w:rsidRDefault="00DA010B" w:rsidP="007A0C73">
      <w:pPr>
        <w:spacing w:line="240" w:lineRule="auto"/>
        <w:rPr>
          <w:rFonts w:cs="Arial"/>
          <w:szCs w:val="24"/>
        </w:rPr>
      </w:pPr>
    </w:p>
    <w:p w14:paraId="339FEFFA" w14:textId="16DCD6D6" w:rsidR="004747EA" w:rsidRDefault="000B2FA4" w:rsidP="007A0C73">
      <w:pPr>
        <w:pStyle w:val="Heading1"/>
        <w:spacing w:before="0" w:line="240" w:lineRule="auto"/>
      </w:pPr>
      <w:r>
        <w:t>Upcoming Course – Accessible Electronic Documentation</w:t>
      </w:r>
    </w:p>
    <w:p w14:paraId="561C1F04" w14:textId="77777777" w:rsidR="00DA010B" w:rsidRPr="00DA010B" w:rsidRDefault="00DA010B" w:rsidP="007A0C73">
      <w:pPr>
        <w:spacing w:line="240" w:lineRule="auto"/>
      </w:pPr>
    </w:p>
    <w:p w14:paraId="0F18EECC" w14:textId="77777777" w:rsidR="000B2FA4" w:rsidRPr="002516B1" w:rsidRDefault="000B2FA4" w:rsidP="007A0C73">
      <w:pPr>
        <w:shd w:val="clear" w:color="auto" w:fill="FFFFFF"/>
        <w:spacing w:line="240" w:lineRule="auto"/>
        <w:rPr>
          <w:rFonts w:cs="Arial"/>
          <w:color w:val="11100F"/>
        </w:rPr>
      </w:pPr>
      <w:r w:rsidRPr="002516B1">
        <w:rPr>
          <w:rFonts w:cs="Arial"/>
          <w:b/>
          <w:bCs/>
          <w:color w:val="11100F"/>
        </w:rPr>
        <w:t xml:space="preserve">You </w:t>
      </w:r>
      <w:r w:rsidRPr="002516B1">
        <w:rPr>
          <w:rFonts w:cs="Arial"/>
          <w:b/>
          <w:bCs/>
          <w:color w:val="11100F"/>
          <w:highlight w:val="yellow"/>
        </w:rPr>
        <w:t>must register</w:t>
      </w:r>
      <w:r w:rsidRPr="002516B1">
        <w:rPr>
          <w:rFonts w:cs="Arial"/>
          <w:b/>
          <w:bCs/>
          <w:color w:val="11100F"/>
        </w:rPr>
        <w:t xml:space="preserve"> through the Learning Management System (LMS)</w:t>
      </w:r>
    </w:p>
    <w:p w14:paraId="4A8DD3B6" w14:textId="77777777" w:rsidR="000B2FA4" w:rsidRPr="002516B1" w:rsidRDefault="00115FC4" w:rsidP="007A0C73">
      <w:pPr>
        <w:shd w:val="clear" w:color="auto" w:fill="FFFFFF"/>
        <w:spacing w:line="240" w:lineRule="auto"/>
        <w:rPr>
          <w:rFonts w:cs="Arial"/>
          <w:color w:val="11100F"/>
        </w:rPr>
      </w:pPr>
      <w:hyperlink r:id="rId25" w:tgtFrame="_blank" w:history="1">
        <w:r w:rsidR="000B2FA4" w:rsidRPr="002516B1">
          <w:rPr>
            <w:rStyle w:val="Hyperlink"/>
            <w:rFonts w:cs="Arial"/>
            <w:color w:val="106EBE"/>
            <w:bdr w:val="none" w:sz="0" w:space="0" w:color="auto" w:frame="1"/>
          </w:rPr>
          <w:t>https://lms.learning.hhs.gov</w:t>
        </w:r>
      </w:hyperlink>
    </w:p>
    <w:p w14:paraId="3DFFD186" w14:textId="77777777" w:rsidR="000B2FA4" w:rsidRPr="002516B1" w:rsidRDefault="000B2FA4" w:rsidP="007A0C73">
      <w:pPr>
        <w:shd w:val="clear" w:color="auto" w:fill="FFFFFF"/>
        <w:spacing w:line="240" w:lineRule="auto"/>
        <w:rPr>
          <w:rFonts w:cs="Arial"/>
          <w:color w:val="11100F"/>
        </w:rPr>
      </w:pPr>
      <w:r w:rsidRPr="002516B1">
        <w:rPr>
          <w:rFonts w:cs="Arial"/>
          <w:color w:val="11100F"/>
        </w:rPr>
        <w:br/>
        <w:t>Microsoft Office 365 Accessibility – Word, Outlook, Excel, and PowerPoint</w:t>
      </w:r>
    </w:p>
    <w:p w14:paraId="1A15C472" w14:textId="77777777" w:rsidR="000B2FA4" w:rsidRPr="002516B1" w:rsidRDefault="000B2FA4" w:rsidP="007A0C73">
      <w:pPr>
        <w:shd w:val="clear" w:color="auto" w:fill="FFFFFF"/>
        <w:spacing w:line="240" w:lineRule="auto"/>
        <w:ind w:left="720"/>
        <w:rPr>
          <w:rFonts w:cs="Arial"/>
          <w:color w:val="11100F"/>
        </w:rPr>
      </w:pPr>
      <w:r w:rsidRPr="002516B1">
        <w:rPr>
          <w:rFonts w:cs="Arial"/>
          <w:color w:val="11100F"/>
        </w:rPr>
        <w:t>(</w:t>
      </w:r>
      <w:r w:rsidRPr="007A0C73">
        <w:rPr>
          <w:rFonts w:cs="Arial"/>
        </w:rPr>
        <w:t>00243513,</w:t>
      </w:r>
      <w:r w:rsidRPr="002516B1">
        <w:rPr>
          <w:rFonts w:cs="Arial"/>
          <w:color w:val="11100F"/>
        </w:rPr>
        <w:t xml:space="preserve"> Version: FY23)</w:t>
      </w:r>
    </w:p>
    <w:p w14:paraId="501DF6D2" w14:textId="77777777" w:rsidR="000B2FA4" w:rsidRPr="002516B1" w:rsidRDefault="000B2FA4" w:rsidP="007A0C73">
      <w:pPr>
        <w:shd w:val="clear" w:color="auto" w:fill="FFFFFF"/>
        <w:spacing w:line="240" w:lineRule="auto"/>
        <w:ind w:left="720"/>
        <w:rPr>
          <w:rFonts w:cs="Arial"/>
          <w:color w:val="11100F"/>
        </w:rPr>
      </w:pPr>
      <w:r w:rsidRPr="002516B1">
        <w:rPr>
          <w:rFonts w:cs="Arial"/>
          <w:color w:val="11100F"/>
        </w:rPr>
        <w:t xml:space="preserve">Date: </w:t>
      </w:r>
      <w:r w:rsidRPr="002516B1">
        <w:rPr>
          <w:rFonts w:cs="Arial"/>
          <w:b/>
          <w:bCs/>
          <w:color w:val="11100F"/>
        </w:rPr>
        <w:t>Thursday, December 15, 2022</w:t>
      </w:r>
      <w:r w:rsidRPr="002516B1">
        <w:rPr>
          <w:rFonts w:cs="Arial"/>
          <w:color w:val="11100F"/>
        </w:rPr>
        <w:t xml:space="preserve"> – Time: 10:00 AM to 11:30 AM</w:t>
      </w:r>
    </w:p>
    <w:p w14:paraId="2892B2FA" w14:textId="77777777" w:rsidR="000B2FA4" w:rsidRPr="002516B1" w:rsidRDefault="000B2FA4" w:rsidP="007A0C73">
      <w:pPr>
        <w:shd w:val="clear" w:color="auto" w:fill="FFFFFF"/>
        <w:spacing w:line="240" w:lineRule="auto"/>
        <w:rPr>
          <w:rFonts w:cs="Arial"/>
          <w:color w:val="11100F"/>
        </w:rPr>
      </w:pPr>
    </w:p>
    <w:p w14:paraId="1EE8EEC0" w14:textId="77777777" w:rsidR="000B2FA4" w:rsidRPr="002516B1" w:rsidRDefault="000B2FA4" w:rsidP="007A0C73">
      <w:pPr>
        <w:shd w:val="clear" w:color="auto" w:fill="FFFFFF"/>
        <w:spacing w:line="240" w:lineRule="auto"/>
        <w:rPr>
          <w:rFonts w:cs="Arial"/>
          <w:color w:val="11100F"/>
        </w:rPr>
      </w:pPr>
      <w:r w:rsidRPr="002516B1">
        <w:rPr>
          <w:rFonts w:cs="Arial"/>
          <w:color w:val="11100F"/>
        </w:rPr>
        <w:t>Microsoft Office 365 Accessibility – Word, Outlook, Excel, and PowerPoint</w:t>
      </w:r>
    </w:p>
    <w:p w14:paraId="691BEBA1" w14:textId="77777777" w:rsidR="000B2FA4" w:rsidRPr="002516B1" w:rsidRDefault="000B2FA4" w:rsidP="007A0C73">
      <w:pPr>
        <w:shd w:val="clear" w:color="auto" w:fill="FFFFFF"/>
        <w:spacing w:line="240" w:lineRule="auto"/>
        <w:ind w:left="720"/>
        <w:rPr>
          <w:rFonts w:cs="Arial"/>
          <w:color w:val="11100F"/>
        </w:rPr>
      </w:pPr>
      <w:r w:rsidRPr="002516B1">
        <w:rPr>
          <w:rFonts w:cs="Arial"/>
          <w:color w:val="11100F"/>
        </w:rPr>
        <w:t>(</w:t>
      </w:r>
      <w:r w:rsidRPr="007A0C73">
        <w:rPr>
          <w:rFonts w:cs="Arial"/>
        </w:rPr>
        <w:t>00243514,</w:t>
      </w:r>
      <w:r w:rsidRPr="002516B1">
        <w:rPr>
          <w:rFonts w:cs="Arial"/>
          <w:color w:val="11100F"/>
        </w:rPr>
        <w:t xml:space="preserve"> Version: FY23)</w:t>
      </w:r>
    </w:p>
    <w:p w14:paraId="6F2B5BF2" w14:textId="77777777" w:rsidR="000B2FA4" w:rsidRPr="002516B1" w:rsidRDefault="000B2FA4" w:rsidP="007A0C73">
      <w:pPr>
        <w:shd w:val="clear" w:color="auto" w:fill="FFFFFF"/>
        <w:spacing w:line="240" w:lineRule="auto"/>
        <w:ind w:left="720"/>
        <w:rPr>
          <w:rFonts w:cs="Arial"/>
          <w:color w:val="11100F"/>
        </w:rPr>
      </w:pPr>
      <w:r w:rsidRPr="002516B1">
        <w:rPr>
          <w:rFonts w:cs="Arial"/>
          <w:color w:val="11100F"/>
        </w:rPr>
        <w:t xml:space="preserve">Date: </w:t>
      </w:r>
      <w:r w:rsidRPr="002516B1">
        <w:rPr>
          <w:rFonts w:cs="Arial"/>
          <w:b/>
          <w:bCs/>
          <w:color w:val="11100F"/>
        </w:rPr>
        <w:t xml:space="preserve">Thursday, January 19, 2023 </w:t>
      </w:r>
      <w:r w:rsidRPr="002516B1">
        <w:rPr>
          <w:rFonts w:cs="Arial"/>
          <w:color w:val="11100F"/>
        </w:rPr>
        <w:t>– Time: 10:00 AM to 11:30 AM</w:t>
      </w:r>
    </w:p>
    <w:p w14:paraId="6D7358A9" w14:textId="77777777" w:rsidR="000B2FA4" w:rsidRDefault="000B2FA4" w:rsidP="007A0C73">
      <w:pPr>
        <w:shd w:val="clear" w:color="auto" w:fill="FFFFFF"/>
        <w:spacing w:line="240" w:lineRule="auto"/>
        <w:ind w:left="720"/>
        <w:rPr>
          <w:rFonts w:ascii="Segoe UI" w:hAnsi="Segoe UI" w:cs="Segoe UI"/>
          <w:color w:val="11100F"/>
        </w:rPr>
      </w:pPr>
    </w:p>
    <w:p w14:paraId="7D1D2E12" w14:textId="77777777" w:rsidR="000B2FA4" w:rsidRDefault="000B2FA4" w:rsidP="007A0C73">
      <w:pPr>
        <w:spacing w:line="240" w:lineRule="auto"/>
      </w:pPr>
      <w:r>
        <w:rPr>
          <w:noProof/>
        </w:rPr>
        <w:lastRenderedPageBreak/>
        <w:drawing>
          <wp:inline distT="0" distB="0" distL="0" distR="0" wp14:anchorId="637D7148" wp14:editId="5E6FC407">
            <wp:extent cx="5943600" cy="1441450"/>
            <wp:effectExtent l="0" t="0" r="0" b="6350"/>
            <wp:docPr id="1" name="Picture 1" descr="World without barriers. Let’s commit to ensuring everyone in our community, family members, co-workers, and friends have access to information without 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ld without barriers. Let’s commit to ensuring everyone in our community, family members, co-workers, and friends have access to information without barrier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1441450"/>
                    </a:xfrm>
                    <a:prstGeom prst="rect">
                      <a:avLst/>
                    </a:prstGeom>
                    <a:noFill/>
                    <a:ln>
                      <a:noFill/>
                    </a:ln>
                  </pic:spPr>
                </pic:pic>
              </a:graphicData>
            </a:graphic>
          </wp:inline>
        </w:drawing>
      </w:r>
    </w:p>
    <w:p w14:paraId="4074F3F9" w14:textId="77777777" w:rsidR="004747EA" w:rsidRDefault="004747EA" w:rsidP="007A0C73">
      <w:pPr>
        <w:spacing w:line="240" w:lineRule="auto"/>
      </w:pPr>
    </w:p>
    <w:bookmarkEnd w:id="4"/>
    <w:p w14:paraId="5E49A03F" w14:textId="0C877C17" w:rsidR="0062412C" w:rsidRDefault="006168F2" w:rsidP="007A0C73">
      <w:pPr>
        <w:spacing w:after="160" w:line="240" w:lineRule="auto"/>
        <w:jc w:val="center"/>
        <w:rPr>
          <w:rFonts w:eastAsiaTheme="majorEastAsia" w:cstheme="majorBidi"/>
          <w:b/>
          <w:bCs/>
          <w:sz w:val="32"/>
          <w:szCs w:val="28"/>
        </w:rPr>
      </w:pPr>
      <w:r w:rsidRPr="00252F49">
        <w:rPr>
          <w:rFonts w:eastAsiaTheme="majorEastAsia" w:cstheme="majorBidi"/>
          <w:b/>
          <w:bCs/>
          <w:sz w:val="32"/>
          <w:szCs w:val="28"/>
        </w:rPr>
        <w:t>Acquisition Policy Zone</w:t>
      </w:r>
    </w:p>
    <w:p w14:paraId="38A5F9DC" w14:textId="77777777" w:rsidR="00570668" w:rsidRDefault="00570668" w:rsidP="007A0C73">
      <w:pPr>
        <w:spacing w:line="240" w:lineRule="auto"/>
        <w:jc w:val="center"/>
      </w:pPr>
      <w:r>
        <w:t xml:space="preserve">Additional OALM communications can be found on the </w:t>
      </w:r>
      <w:hyperlink r:id="rId28" w:history="1">
        <w:r>
          <w:rPr>
            <w:rStyle w:val="Hyperlink"/>
          </w:rPr>
          <w:t>CDMP SharePoint site</w:t>
        </w:r>
      </w:hyperlink>
      <w:r>
        <w:t xml:space="preserve">. </w:t>
      </w:r>
    </w:p>
    <w:p w14:paraId="7427F524" w14:textId="60E47D40" w:rsidR="00570668" w:rsidRDefault="00570668" w:rsidP="007A0C73">
      <w:pPr>
        <w:spacing w:after="160" w:line="240" w:lineRule="auto"/>
        <w:jc w:val="center"/>
      </w:pPr>
      <w:r>
        <w:t xml:space="preserve">HHS Policy Flashes can be found on the </w:t>
      </w:r>
      <w:hyperlink r:id="rId29" w:history="1">
        <w:r>
          <w:rPr>
            <w:rStyle w:val="Hyperlink"/>
          </w:rPr>
          <w:t>HHS Office of Acquisition Policy Max.gov site</w:t>
        </w:r>
      </w:hyperlink>
      <w:r>
        <w:t>.</w:t>
      </w:r>
    </w:p>
    <w:tbl>
      <w:tblPr>
        <w:tblW w:w="10870" w:type="dxa"/>
        <w:tblInd w:w="4" w:type="dxa"/>
        <w:tblCellMar>
          <w:left w:w="0" w:type="dxa"/>
          <w:right w:w="0" w:type="dxa"/>
        </w:tblCellMar>
        <w:tblLook w:val="04A0" w:firstRow="1" w:lastRow="0" w:firstColumn="1" w:lastColumn="0" w:noHBand="0" w:noVBand="1"/>
      </w:tblPr>
      <w:tblGrid>
        <w:gridCol w:w="1418"/>
        <w:gridCol w:w="2030"/>
        <w:gridCol w:w="7422"/>
      </w:tblGrid>
      <w:tr w:rsidR="006168F2" w14:paraId="67F6D8AA" w14:textId="77777777" w:rsidTr="008A362E">
        <w:trPr>
          <w:trHeight w:val="624"/>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9B4E52" w14:textId="77777777" w:rsidR="006168F2" w:rsidRPr="002516B1" w:rsidRDefault="006168F2" w:rsidP="007A0C73">
            <w:pPr>
              <w:spacing w:line="240" w:lineRule="auto"/>
              <w:jc w:val="center"/>
              <w:rPr>
                <w:rFonts w:cs="Arial"/>
                <w:b/>
                <w:bCs/>
                <w:color w:val="000000"/>
                <w:szCs w:val="24"/>
              </w:rPr>
            </w:pPr>
            <w:r w:rsidRPr="002516B1">
              <w:rPr>
                <w:rFonts w:cs="Arial"/>
                <w:b/>
                <w:bCs/>
                <w:color w:val="000000"/>
                <w:szCs w:val="24"/>
              </w:rPr>
              <w:t>Date Issued</w:t>
            </w:r>
          </w:p>
        </w:tc>
        <w:tc>
          <w:tcPr>
            <w:tcW w:w="2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18968C" w14:textId="77777777" w:rsidR="006168F2" w:rsidRPr="002516B1" w:rsidRDefault="006168F2" w:rsidP="007A0C73">
            <w:pPr>
              <w:spacing w:line="240" w:lineRule="auto"/>
              <w:jc w:val="center"/>
              <w:rPr>
                <w:rFonts w:cs="Arial"/>
                <w:b/>
                <w:bCs/>
                <w:color w:val="000000"/>
                <w:szCs w:val="24"/>
              </w:rPr>
            </w:pPr>
            <w:r w:rsidRPr="002516B1">
              <w:rPr>
                <w:rFonts w:cs="Arial"/>
                <w:b/>
                <w:bCs/>
                <w:color w:val="000000"/>
                <w:szCs w:val="24"/>
              </w:rPr>
              <w:t xml:space="preserve">Policy Communication </w:t>
            </w:r>
          </w:p>
        </w:tc>
        <w:tc>
          <w:tcPr>
            <w:tcW w:w="74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547551" w14:textId="77777777" w:rsidR="006168F2" w:rsidRPr="002516B1" w:rsidRDefault="006168F2" w:rsidP="007A0C73">
            <w:pPr>
              <w:spacing w:line="240" w:lineRule="auto"/>
              <w:jc w:val="center"/>
              <w:rPr>
                <w:rFonts w:cs="Arial"/>
                <w:b/>
                <w:bCs/>
                <w:color w:val="000000"/>
                <w:szCs w:val="24"/>
              </w:rPr>
            </w:pPr>
            <w:r w:rsidRPr="002516B1">
              <w:rPr>
                <w:rFonts w:cs="Arial"/>
                <w:b/>
                <w:bCs/>
                <w:color w:val="000000"/>
                <w:szCs w:val="24"/>
              </w:rPr>
              <w:t>Description</w:t>
            </w:r>
          </w:p>
        </w:tc>
      </w:tr>
      <w:tr w:rsidR="006168F2" w14:paraId="4D5C5094" w14:textId="77777777" w:rsidTr="008A362E">
        <w:trPr>
          <w:trHeight w:val="528"/>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E2EB85" w14:textId="162706A1" w:rsidR="006168F2" w:rsidRPr="002516B1" w:rsidRDefault="000B2FA4" w:rsidP="007A0C73">
            <w:pPr>
              <w:spacing w:line="240" w:lineRule="auto"/>
              <w:rPr>
                <w:rFonts w:cs="Arial"/>
                <w:color w:val="000000"/>
                <w:szCs w:val="24"/>
              </w:rPr>
            </w:pPr>
            <w:r w:rsidRPr="002516B1">
              <w:rPr>
                <w:rFonts w:cs="Arial"/>
                <w:color w:val="000000"/>
                <w:szCs w:val="24"/>
              </w:rPr>
              <w:t>7</w:t>
            </w:r>
            <w:r w:rsidR="006168F2" w:rsidRPr="002516B1">
              <w:rPr>
                <w:rFonts w:cs="Arial"/>
                <w:color w:val="000000"/>
                <w:szCs w:val="24"/>
              </w:rPr>
              <w:t>/</w:t>
            </w:r>
            <w:r w:rsidRPr="002516B1">
              <w:rPr>
                <w:rFonts w:cs="Arial"/>
                <w:color w:val="000000"/>
                <w:szCs w:val="24"/>
              </w:rPr>
              <w:t>12</w:t>
            </w:r>
            <w:r w:rsidR="006168F2" w:rsidRPr="002516B1">
              <w:rPr>
                <w:rFonts w:cs="Arial"/>
                <w:color w:val="000000"/>
                <w:szCs w:val="24"/>
              </w:rPr>
              <w:t>/22</w:t>
            </w:r>
          </w:p>
        </w:tc>
        <w:tc>
          <w:tcPr>
            <w:tcW w:w="2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72072A" w14:textId="71B9E447" w:rsidR="006168F2" w:rsidRPr="002516B1" w:rsidRDefault="000B2FA4" w:rsidP="007A0C73">
            <w:pPr>
              <w:spacing w:line="240" w:lineRule="auto"/>
              <w:rPr>
                <w:rFonts w:cs="Arial"/>
                <w:b/>
                <w:bCs/>
                <w:color w:val="000000"/>
                <w:szCs w:val="24"/>
              </w:rPr>
            </w:pPr>
            <w:r w:rsidRPr="002516B1">
              <w:rPr>
                <w:rFonts w:cs="Arial"/>
                <w:b/>
                <w:bCs/>
                <w:color w:val="000000"/>
                <w:szCs w:val="24"/>
              </w:rPr>
              <w:t>OALM Communication 22-90</w:t>
            </w:r>
          </w:p>
          <w:p w14:paraId="081C2845" w14:textId="6003F49F" w:rsidR="000B2FA4" w:rsidRPr="002516B1" w:rsidRDefault="000B2FA4" w:rsidP="007A0C73">
            <w:pPr>
              <w:spacing w:line="240" w:lineRule="auto"/>
              <w:rPr>
                <w:rFonts w:cs="Arial"/>
                <w:color w:val="000000"/>
                <w:szCs w:val="24"/>
              </w:rPr>
            </w:pPr>
            <w:r w:rsidRPr="002516B1">
              <w:rPr>
                <w:rFonts w:cs="Arial"/>
                <w:color w:val="000000"/>
                <w:szCs w:val="24"/>
              </w:rPr>
              <w:t>FY 22 Deadline for Submissions on Buy American Act Waiver for Non-Availability Exception to OALM/MIAO</w:t>
            </w:r>
          </w:p>
          <w:p w14:paraId="3889926D" w14:textId="0AC628B9" w:rsidR="006168F2" w:rsidRPr="002516B1" w:rsidRDefault="006168F2" w:rsidP="007A0C73">
            <w:pPr>
              <w:spacing w:line="240" w:lineRule="auto"/>
              <w:rPr>
                <w:rFonts w:cs="Arial"/>
                <w:color w:val="000000"/>
                <w:szCs w:val="24"/>
              </w:rPr>
            </w:pPr>
          </w:p>
        </w:tc>
        <w:tc>
          <w:tcPr>
            <w:tcW w:w="74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0023CB" w14:textId="2B9860CC" w:rsidR="006168F2" w:rsidRPr="002516B1" w:rsidRDefault="000B2FA4" w:rsidP="007A0C73">
            <w:pPr>
              <w:spacing w:line="240" w:lineRule="auto"/>
              <w:rPr>
                <w:rFonts w:cs="Arial"/>
                <w:szCs w:val="24"/>
              </w:rPr>
            </w:pPr>
            <w:r w:rsidRPr="002516B1">
              <w:rPr>
                <w:rFonts w:cs="Arial"/>
                <w:szCs w:val="24"/>
              </w:rPr>
              <w:t xml:space="preserve">OALM is requesting the acquisition community submit any remaining Buy American Act non-availability waivers for FY22 awards no later than </w:t>
            </w:r>
            <w:r w:rsidRPr="002516B1">
              <w:rPr>
                <w:rFonts w:cs="Arial"/>
                <w:szCs w:val="24"/>
                <w:u w:val="single"/>
              </w:rPr>
              <w:t xml:space="preserve">August 8, </w:t>
            </w:r>
            <w:proofErr w:type="gramStart"/>
            <w:r w:rsidRPr="002516B1">
              <w:rPr>
                <w:rFonts w:cs="Arial"/>
                <w:szCs w:val="24"/>
                <w:u w:val="single"/>
              </w:rPr>
              <w:t>2022</w:t>
            </w:r>
            <w:proofErr w:type="gramEnd"/>
            <w:r w:rsidRPr="002516B1">
              <w:rPr>
                <w:rFonts w:cs="Arial"/>
                <w:szCs w:val="24"/>
                <w:u w:val="single"/>
              </w:rPr>
              <w:t xml:space="preserve"> to ensure sufficient time for approval</w:t>
            </w:r>
            <w:r w:rsidRPr="002516B1">
              <w:rPr>
                <w:rFonts w:cs="Arial"/>
                <w:szCs w:val="24"/>
              </w:rPr>
              <w:t>.  All waivers must be processed through OALM for HCA approval before final review by the Made in America Office (MIAO). </w:t>
            </w:r>
          </w:p>
        </w:tc>
      </w:tr>
      <w:tr w:rsidR="006168F2" w14:paraId="16987966" w14:textId="77777777" w:rsidTr="008A362E">
        <w:trPr>
          <w:trHeight w:val="16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C2D7B" w14:textId="6FBBD059" w:rsidR="006168F2" w:rsidRPr="002516B1" w:rsidRDefault="005300C9" w:rsidP="007A0C73">
            <w:pPr>
              <w:spacing w:line="240" w:lineRule="auto"/>
              <w:rPr>
                <w:rFonts w:cs="Arial"/>
                <w:color w:val="000000"/>
                <w:szCs w:val="24"/>
              </w:rPr>
            </w:pPr>
            <w:r w:rsidRPr="002516B1">
              <w:rPr>
                <w:rFonts w:cs="Arial"/>
                <w:color w:val="000000"/>
                <w:szCs w:val="24"/>
              </w:rPr>
              <w:t>8</w:t>
            </w:r>
            <w:r w:rsidR="006168F2" w:rsidRPr="002516B1">
              <w:rPr>
                <w:rFonts w:cs="Arial"/>
                <w:color w:val="000000"/>
                <w:szCs w:val="24"/>
              </w:rPr>
              <w:t>/</w:t>
            </w:r>
            <w:r w:rsidRPr="002516B1">
              <w:rPr>
                <w:rFonts w:cs="Arial"/>
                <w:color w:val="000000"/>
                <w:szCs w:val="24"/>
              </w:rPr>
              <w:t>18</w:t>
            </w:r>
            <w:r w:rsidR="006168F2" w:rsidRPr="002516B1">
              <w:rPr>
                <w:rFonts w:cs="Arial"/>
                <w:color w:val="000000"/>
                <w:szCs w:val="24"/>
              </w:rPr>
              <w:t>/22</w:t>
            </w:r>
          </w:p>
        </w:tc>
        <w:tc>
          <w:tcPr>
            <w:tcW w:w="2030" w:type="dxa"/>
            <w:tcBorders>
              <w:top w:val="nil"/>
              <w:left w:val="nil"/>
              <w:bottom w:val="single" w:sz="8" w:space="0" w:color="auto"/>
              <w:right w:val="single" w:sz="8" w:space="0" w:color="auto"/>
            </w:tcBorders>
            <w:tcMar>
              <w:top w:w="0" w:type="dxa"/>
              <w:left w:w="108" w:type="dxa"/>
              <w:bottom w:w="0" w:type="dxa"/>
              <w:right w:w="108" w:type="dxa"/>
            </w:tcMar>
          </w:tcPr>
          <w:p w14:paraId="41B9C138" w14:textId="77777777" w:rsidR="006168F2" w:rsidRPr="002516B1" w:rsidRDefault="006168F2" w:rsidP="007A0C73">
            <w:pPr>
              <w:spacing w:line="240" w:lineRule="auto"/>
              <w:rPr>
                <w:rFonts w:cs="Arial"/>
                <w:b/>
                <w:bCs/>
                <w:color w:val="000000"/>
                <w:szCs w:val="24"/>
              </w:rPr>
            </w:pPr>
            <w:r w:rsidRPr="002516B1">
              <w:rPr>
                <w:rFonts w:cs="Arial"/>
                <w:b/>
                <w:bCs/>
                <w:color w:val="000000"/>
                <w:szCs w:val="24"/>
              </w:rPr>
              <w:t>Email from Nancy Norton, Associate Director, OAMP</w:t>
            </w:r>
          </w:p>
        </w:tc>
        <w:tc>
          <w:tcPr>
            <w:tcW w:w="7422" w:type="dxa"/>
            <w:tcBorders>
              <w:top w:val="nil"/>
              <w:left w:val="nil"/>
              <w:bottom w:val="single" w:sz="8" w:space="0" w:color="auto"/>
              <w:right w:val="single" w:sz="8" w:space="0" w:color="auto"/>
            </w:tcBorders>
            <w:tcMar>
              <w:top w:w="0" w:type="dxa"/>
              <w:left w:w="108" w:type="dxa"/>
              <w:bottom w:w="0" w:type="dxa"/>
              <w:right w:w="108" w:type="dxa"/>
            </w:tcMar>
          </w:tcPr>
          <w:p w14:paraId="148B5EC8" w14:textId="501A7CAF" w:rsidR="005300C9" w:rsidRPr="002516B1" w:rsidRDefault="005300C9" w:rsidP="007A0C73">
            <w:pPr>
              <w:spacing w:line="240" w:lineRule="auto"/>
              <w:rPr>
                <w:rFonts w:cs="Arial"/>
                <w:szCs w:val="24"/>
              </w:rPr>
            </w:pPr>
            <w:r w:rsidRPr="002516B1">
              <w:rPr>
                <w:rFonts w:cs="Arial"/>
                <w:szCs w:val="24"/>
              </w:rPr>
              <w:t xml:space="preserve">The email is to notify all COs and CORs that National Institutes of Health (NIH) Special Notice_2022-05-04 titled NIH Notification to Contractors – COVID 19 Community Level Facility Access Requirements is rescinded. </w:t>
            </w:r>
          </w:p>
          <w:p w14:paraId="018898FE" w14:textId="41BFC9E4" w:rsidR="006168F2" w:rsidRPr="002516B1" w:rsidRDefault="005300C9" w:rsidP="007A0C73">
            <w:pPr>
              <w:spacing w:line="240" w:lineRule="auto"/>
              <w:rPr>
                <w:rFonts w:cs="Arial"/>
                <w:szCs w:val="24"/>
              </w:rPr>
            </w:pPr>
            <w:r w:rsidRPr="002516B1">
              <w:rPr>
                <w:rFonts w:cs="Arial"/>
                <w:szCs w:val="24"/>
              </w:rPr>
              <w:t xml:space="preserve">In accordance with revised CDC Guidelines and NIH safety protocols, </w:t>
            </w:r>
            <w:r w:rsidRPr="002516B1">
              <w:rPr>
                <w:rFonts w:cs="Arial"/>
                <w:b/>
                <w:bCs/>
                <w:szCs w:val="24"/>
                <w:highlight w:val="yellow"/>
              </w:rPr>
              <w:t>NIH is no longer requiring Contractors to provide daily compliance certification of vaccination or testing for onsite personnel</w:t>
            </w:r>
            <w:r w:rsidRPr="002516B1">
              <w:rPr>
                <w:rFonts w:cs="Arial"/>
                <w:szCs w:val="24"/>
              </w:rPr>
              <w:t xml:space="preserve"> when the</w:t>
            </w:r>
            <w:r w:rsidRPr="002516B1">
              <w:rPr>
                <w:rFonts w:cs="Arial"/>
                <w:color w:val="1B1B1B"/>
                <w:szCs w:val="24"/>
                <w:shd w:val="clear" w:color="auto" w:fill="FFFFFF"/>
              </w:rPr>
              <w:t> </w:t>
            </w:r>
            <w:hyperlink r:id="rId30" w:tgtFrame="_blank" w:history="1">
              <w:r w:rsidRPr="002516B1">
                <w:rPr>
                  <w:rStyle w:val="Hyperlink"/>
                  <w:rFonts w:cs="Arial"/>
                  <w:szCs w:val="24"/>
                  <w:shd w:val="clear" w:color="auto" w:fill="FFFFFF"/>
                </w:rPr>
                <w:t>COVID-19 Community Level</w:t>
              </w:r>
            </w:hyperlink>
            <w:r w:rsidRPr="002516B1">
              <w:rPr>
                <w:rFonts w:cs="Arial"/>
                <w:color w:val="1B1B1B"/>
                <w:szCs w:val="24"/>
                <w:shd w:val="clear" w:color="auto" w:fill="FFFFFF"/>
              </w:rPr>
              <w:t xml:space="preserve"> increases </w:t>
            </w:r>
            <w:r w:rsidRPr="002516B1">
              <w:rPr>
                <w:rFonts w:cs="Arial"/>
                <w:szCs w:val="24"/>
              </w:rPr>
              <w:t xml:space="preserve">from LOW to </w:t>
            </w:r>
            <w:r w:rsidRPr="002516B1">
              <w:rPr>
                <w:rFonts w:cs="Arial"/>
                <w:i/>
                <w:iCs/>
                <w:szCs w:val="24"/>
              </w:rPr>
              <w:t>MEDIUM or HIGH.</w:t>
            </w:r>
            <w:r w:rsidRPr="002516B1">
              <w:rPr>
                <w:rFonts w:cs="Arial"/>
                <w:szCs w:val="24"/>
              </w:rPr>
              <w:t> </w:t>
            </w:r>
          </w:p>
        </w:tc>
      </w:tr>
      <w:tr w:rsidR="006168F2" w14:paraId="1555AA05" w14:textId="77777777" w:rsidTr="008A362E">
        <w:trPr>
          <w:trHeight w:val="528"/>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5EEAE" w14:textId="2C447943" w:rsidR="006168F2" w:rsidRPr="002516B1" w:rsidRDefault="005300C9" w:rsidP="007A0C73">
            <w:pPr>
              <w:spacing w:line="240" w:lineRule="auto"/>
              <w:rPr>
                <w:rFonts w:cs="Arial"/>
                <w:color w:val="000000"/>
                <w:szCs w:val="24"/>
              </w:rPr>
            </w:pPr>
            <w:r w:rsidRPr="002516B1">
              <w:rPr>
                <w:rFonts w:cs="Arial"/>
                <w:color w:val="000000"/>
                <w:szCs w:val="24"/>
              </w:rPr>
              <w:t>10</w:t>
            </w:r>
            <w:r w:rsidR="006168F2" w:rsidRPr="002516B1">
              <w:rPr>
                <w:rFonts w:cs="Arial"/>
                <w:color w:val="000000"/>
                <w:szCs w:val="24"/>
              </w:rPr>
              <w:t>/</w:t>
            </w:r>
            <w:r w:rsidRPr="002516B1">
              <w:rPr>
                <w:rFonts w:cs="Arial"/>
                <w:color w:val="000000"/>
                <w:szCs w:val="24"/>
              </w:rPr>
              <w:t>1</w:t>
            </w:r>
            <w:r w:rsidR="006168F2" w:rsidRPr="002516B1">
              <w:rPr>
                <w:rFonts w:cs="Arial"/>
                <w:color w:val="000000"/>
                <w:szCs w:val="24"/>
              </w:rPr>
              <w:t>/22</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5284FE" w14:textId="1BA05192" w:rsidR="006168F2" w:rsidRPr="002516B1" w:rsidRDefault="006168F2" w:rsidP="007A0C73">
            <w:pPr>
              <w:spacing w:line="240" w:lineRule="auto"/>
              <w:rPr>
                <w:rFonts w:cs="Arial"/>
                <w:b/>
                <w:bCs/>
                <w:color w:val="000000"/>
                <w:szCs w:val="24"/>
              </w:rPr>
            </w:pPr>
            <w:r w:rsidRPr="002516B1">
              <w:rPr>
                <w:rFonts w:cs="Arial"/>
                <w:b/>
                <w:bCs/>
                <w:color w:val="000000"/>
                <w:szCs w:val="24"/>
              </w:rPr>
              <w:t xml:space="preserve">Email from </w:t>
            </w:r>
            <w:r w:rsidR="005300C9" w:rsidRPr="002516B1">
              <w:rPr>
                <w:rFonts w:cs="Arial"/>
                <w:b/>
                <w:bCs/>
                <w:color w:val="000000"/>
                <w:szCs w:val="24"/>
              </w:rPr>
              <w:t>Simplified Acquisition Helpline</w:t>
            </w:r>
          </w:p>
        </w:tc>
        <w:tc>
          <w:tcPr>
            <w:tcW w:w="7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F14B8E" w14:textId="0E919E90" w:rsidR="006168F2" w:rsidRPr="002516B1" w:rsidRDefault="005300C9" w:rsidP="007A0C73">
            <w:pPr>
              <w:spacing w:line="240" w:lineRule="auto"/>
              <w:rPr>
                <w:rFonts w:cs="Arial"/>
                <w:szCs w:val="24"/>
              </w:rPr>
            </w:pPr>
            <w:r w:rsidRPr="002516B1">
              <w:rPr>
                <w:rFonts w:cs="Arial"/>
                <w:szCs w:val="24"/>
              </w:rPr>
              <w:t>The HHS OIG is conducting pre-audit work to evaluate potential audit objectives related to NIH’s contract closeout process. The OIG is considering audit objectives such as determining whether NIH timely closed out contracts in accordance with the FAR and HHS guidance</w:t>
            </w:r>
          </w:p>
        </w:tc>
      </w:tr>
      <w:tr w:rsidR="006168F2" w14:paraId="3E169969" w14:textId="77777777" w:rsidTr="008A362E">
        <w:trPr>
          <w:trHeight w:val="528"/>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F270DC" w14:textId="77777777" w:rsidR="006168F2" w:rsidRPr="002516B1" w:rsidRDefault="005300C9" w:rsidP="007A0C73">
            <w:pPr>
              <w:spacing w:line="240" w:lineRule="auto"/>
              <w:rPr>
                <w:rFonts w:cs="Arial"/>
                <w:color w:val="000000"/>
                <w:szCs w:val="24"/>
              </w:rPr>
            </w:pPr>
            <w:r w:rsidRPr="002516B1">
              <w:rPr>
                <w:rFonts w:cs="Arial"/>
                <w:color w:val="000000"/>
                <w:szCs w:val="24"/>
              </w:rPr>
              <w:t>10/7/2022</w:t>
            </w:r>
          </w:p>
          <w:p w14:paraId="4D497F01" w14:textId="77777777" w:rsidR="005300C9" w:rsidRPr="002516B1" w:rsidRDefault="005300C9" w:rsidP="007A0C73">
            <w:pPr>
              <w:spacing w:line="240" w:lineRule="auto"/>
              <w:rPr>
                <w:rFonts w:cs="Arial"/>
                <w:color w:val="000000"/>
                <w:szCs w:val="24"/>
              </w:rPr>
            </w:pPr>
            <w:r w:rsidRPr="002516B1">
              <w:rPr>
                <w:rFonts w:cs="Arial"/>
                <w:color w:val="000000"/>
                <w:szCs w:val="24"/>
              </w:rPr>
              <w:t>10/12/2022</w:t>
            </w:r>
          </w:p>
          <w:p w14:paraId="12683D63" w14:textId="26B32B62" w:rsidR="005300C9" w:rsidRPr="002516B1" w:rsidRDefault="005300C9" w:rsidP="007A0C73">
            <w:pPr>
              <w:spacing w:line="240" w:lineRule="auto"/>
              <w:rPr>
                <w:rFonts w:cs="Arial"/>
                <w:color w:val="000000"/>
                <w:szCs w:val="24"/>
              </w:rPr>
            </w:pPr>
            <w:r w:rsidRPr="002516B1">
              <w:rPr>
                <w:rFonts w:cs="Arial"/>
                <w:color w:val="000000"/>
                <w:szCs w:val="24"/>
              </w:rPr>
              <w:t>10/13/2022</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07C1F3" w14:textId="34FC3A45" w:rsidR="006168F2" w:rsidRPr="002516B1" w:rsidRDefault="005300C9" w:rsidP="007A0C73">
            <w:pPr>
              <w:spacing w:line="240" w:lineRule="auto"/>
              <w:rPr>
                <w:rFonts w:cs="Arial"/>
                <w:color w:val="000000"/>
                <w:szCs w:val="24"/>
              </w:rPr>
            </w:pPr>
            <w:r w:rsidRPr="002516B1">
              <w:rPr>
                <w:rFonts w:cs="Arial"/>
                <w:b/>
                <w:bCs/>
                <w:color w:val="000000"/>
                <w:szCs w:val="24"/>
              </w:rPr>
              <w:t>Email from Simplified Acquisition Helpline</w:t>
            </w:r>
          </w:p>
        </w:tc>
        <w:tc>
          <w:tcPr>
            <w:tcW w:w="7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C35DC" w14:textId="77777777" w:rsidR="006168F2" w:rsidRPr="002516B1" w:rsidRDefault="005300C9" w:rsidP="007A0C73">
            <w:pPr>
              <w:spacing w:line="240" w:lineRule="auto"/>
              <w:rPr>
                <w:rFonts w:cs="Arial"/>
                <w:szCs w:val="24"/>
              </w:rPr>
            </w:pPr>
            <w:r w:rsidRPr="002516B1">
              <w:rPr>
                <w:rFonts w:cs="Arial"/>
                <w:szCs w:val="24"/>
              </w:rPr>
              <w:t>HHSAR review instructions</w:t>
            </w:r>
          </w:p>
          <w:p w14:paraId="78A86FF3" w14:textId="74C76889" w:rsidR="005300C9" w:rsidRPr="002516B1" w:rsidRDefault="005300C9" w:rsidP="007A0C73">
            <w:pPr>
              <w:spacing w:line="240" w:lineRule="auto"/>
              <w:rPr>
                <w:rFonts w:cs="Arial"/>
                <w:szCs w:val="24"/>
              </w:rPr>
            </w:pPr>
            <w:r w:rsidRPr="002516B1">
              <w:rPr>
                <w:rFonts w:cs="Arial"/>
                <w:szCs w:val="24"/>
              </w:rPr>
              <w:t xml:space="preserve">HHS is seeking comments on some parts of the </w:t>
            </w:r>
            <w:proofErr w:type="gramStart"/>
            <w:r w:rsidRPr="002516B1">
              <w:rPr>
                <w:rFonts w:cs="Arial"/>
                <w:szCs w:val="24"/>
              </w:rPr>
              <w:t>HHSAR</w:t>
            </w:r>
            <w:proofErr w:type="gramEnd"/>
            <w:r w:rsidRPr="002516B1">
              <w:rPr>
                <w:rFonts w:cs="Arial"/>
                <w:szCs w:val="24"/>
              </w:rPr>
              <w:t xml:space="preserve"> and they will be sent out to the community in several emails because of file sizes.  Please review the attached files of </w:t>
            </w:r>
            <w:proofErr w:type="gramStart"/>
            <w:r w:rsidRPr="002516B1">
              <w:rPr>
                <w:rFonts w:cs="Arial"/>
                <w:szCs w:val="24"/>
              </w:rPr>
              <w:t>particular HHSAR</w:t>
            </w:r>
            <w:proofErr w:type="gramEnd"/>
            <w:r w:rsidRPr="002516B1">
              <w:rPr>
                <w:rFonts w:cs="Arial"/>
                <w:szCs w:val="24"/>
              </w:rPr>
              <w:t xml:space="preserve"> </w:t>
            </w:r>
            <w:r w:rsidRPr="002516B1">
              <w:rPr>
                <w:rFonts w:cs="Arial"/>
                <w:szCs w:val="24"/>
              </w:rPr>
              <w:lastRenderedPageBreak/>
              <w:t xml:space="preserve">sections and provide comment back to us at </w:t>
            </w:r>
            <w:hyperlink r:id="rId31" w:history="1">
              <w:r w:rsidRPr="002516B1">
                <w:rPr>
                  <w:rStyle w:val="Hyperlink"/>
                  <w:rFonts w:cs="Arial"/>
                  <w:szCs w:val="24"/>
                </w:rPr>
                <w:t>simplifiedacquisitionhelp@od.nih.gov</w:t>
              </w:r>
            </w:hyperlink>
            <w:r w:rsidRPr="002516B1">
              <w:rPr>
                <w:rFonts w:cs="Arial"/>
                <w:szCs w:val="24"/>
              </w:rPr>
              <w:t xml:space="preserve"> before the deadlines established for each group of HHSAR sections</w:t>
            </w:r>
          </w:p>
        </w:tc>
      </w:tr>
    </w:tbl>
    <w:p w14:paraId="183ACD01" w14:textId="232E1EE4" w:rsidR="004D1137" w:rsidRPr="00C0583B" w:rsidRDefault="008A362E" w:rsidP="007A0C73">
      <w:pPr>
        <w:pStyle w:val="Heading1"/>
        <w:spacing w:before="0" w:after="120" w:line="240" w:lineRule="auto"/>
        <w:contextualSpacing w:val="0"/>
        <w:rPr>
          <w:rFonts w:eastAsia="Arial" w:cs="Arial"/>
          <w:spacing w:val="-5"/>
          <w:szCs w:val="32"/>
        </w:rPr>
      </w:pPr>
      <w:r>
        <w:rPr>
          <w:rFonts w:eastAsia="Arial" w:cs="Arial"/>
          <w:spacing w:val="-5"/>
          <w:szCs w:val="32"/>
        </w:rPr>
        <w:lastRenderedPageBreak/>
        <w:br/>
      </w:r>
      <w:r w:rsidR="009A5D35">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14:paraId="22D760DA" w14:textId="77777777" w:rsidR="004C4D13" w:rsidRPr="00C66CE4" w:rsidRDefault="004C4D13" w:rsidP="007A0C73">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14:paraId="3BAB5B98" w14:textId="72E50469" w:rsidR="00225194" w:rsidRPr="00C0583B" w:rsidRDefault="004C4D13" w:rsidP="007A0C73">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w:t>
      </w:r>
      <w:r w:rsidR="00EB24BF">
        <w:rPr>
          <w:rFonts w:eastAsia="Calibri" w:cs="Arial"/>
          <w:spacing w:val="2"/>
          <w:szCs w:val="24"/>
        </w:rPr>
        <w:t>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w:t>
      </w:r>
      <w:r w:rsidR="00EB24BF">
        <w:rPr>
          <w:rFonts w:eastAsia="Calibri" w:cs="Arial"/>
          <w:spacing w:val="-1"/>
          <w:szCs w:val="24"/>
        </w:rPr>
        <w:t>c</w:t>
      </w:r>
      <w:r w:rsidRPr="004467E3">
        <w:rPr>
          <w:rFonts w:eastAsia="Calibri" w:cs="Arial"/>
          <w:spacing w:val="-1"/>
          <w:szCs w:val="24"/>
        </w:rPr>
        <w:t>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32" w:tooltip="Acquisitions Management Courses" w:history="1">
        <w:r w:rsidR="00EB24BF">
          <w:rPr>
            <w:rStyle w:val="Hyperlink"/>
            <w:rFonts w:eastAsia="Calibri" w:cs="Arial"/>
            <w:spacing w:val="-1"/>
            <w:szCs w:val="24"/>
          </w:rPr>
          <w:t>Acquisitions Management Courses</w:t>
        </w:r>
      </w:hyperlink>
    </w:p>
    <w:p w14:paraId="37E5AC3D" w14:textId="77777777" w:rsidR="004C4D13" w:rsidRPr="00C66CE4" w:rsidRDefault="004C4D13" w:rsidP="007A0C73">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14:paraId="010D67B9" w14:textId="77777777" w:rsidR="001E18F0" w:rsidRPr="00C0583B" w:rsidRDefault="004C4D13" w:rsidP="007A0C73">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33" w:tooltip="NIH Training Center" w:history="1">
        <w:r w:rsidRPr="004467E3">
          <w:rPr>
            <w:rStyle w:val="Hyperlink"/>
            <w:rFonts w:cs="Arial"/>
            <w:szCs w:val="24"/>
          </w:rPr>
          <w:t>NIH Training Center</w:t>
        </w:r>
      </w:hyperlink>
      <w:r w:rsidRPr="004467E3">
        <w:rPr>
          <w:rFonts w:cs="Arial"/>
          <w:szCs w:val="24"/>
        </w:rPr>
        <w:t xml:space="preserve">, </w:t>
      </w:r>
      <w:hyperlink r:id="rId34"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35" w:tooltip="DAU Training Center" w:history="1">
        <w:r w:rsidRPr="004467E3">
          <w:rPr>
            <w:rStyle w:val="Hyperlink"/>
            <w:rFonts w:cs="Arial"/>
            <w:szCs w:val="24"/>
          </w:rPr>
          <w:t>Defense Acquisition University</w:t>
        </w:r>
      </w:hyperlink>
      <w:r w:rsidRPr="004467E3">
        <w:rPr>
          <w:rFonts w:cs="Arial"/>
          <w:szCs w:val="24"/>
        </w:rPr>
        <w:t>.</w:t>
      </w:r>
    </w:p>
    <w:p w14:paraId="7A50C339" w14:textId="77777777" w:rsidR="004C4D13" w:rsidRPr="00C66CE4" w:rsidRDefault="004C4D13" w:rsidP="007A0C73">
      <w:pPr>
        <w:spacing w:line="240" w:lineRule="auto"/>
        <w:contextualSpacing/>
        <w:rPr>
          <w:rStyle w:val="Strong"/>
          <w:rFonts w:cs="Arial"/>
          <w:sz w:val="28"/>
          <w:szCs w:val="28"/>
        </w:rPr>
      </w:pPr>
      <w:r w:rsidRPr="00C66CE4">
        <w:rPr>
          <w:rStyle w:val="Strong"/>
          <w:rFonts w:cs="Arial"/>
          <w:sz w:val="28"/>
          <w:szCs w:val="28"/>
        </w:rPr>
        <w:t>Section 508 Accessibility Training</w:t>
      </w:r>
    </w:p>
    <w:p w14:paraId="075E698F" w14:textId="77777777" w:rsidR="00C66CE4" w:rsidRPr="004467E3" w:rsidRDefault="004C4D13" w:rsidP="007A0C73">
      <w:pPr>
        <w:spacing w:after="120" w:line="240" w:lineRule="auto"/>
        <w:rPr>
          <w:rFonts w:cs="Arial"/>
          <w:szCs w:val="24"/>
        </w:rPr>
      </w:pPr>
      <w:r w:rsidRPr="004467E3">
        <w:rPr>
          <w:rFonts w:cs="Arial"/>
          <w:szCs w:val="24"/>
        </w:rPr>
        <w:t>Section 508 Accessibility Training courses can be accessed at</w:t>
      </w:r>
      <w:bookmarkStart w:id="6" w:name="_Hlk419199521"/>
      <w:r w:rsidRPr="004467E3">
        <w:rPr>
          <w:rFonts w:cs="Arial"/>
          <w:szCs w:val="24"/>
        </w:rPr>
        <w:t xml:space="preserve">: </w:t>
      </w:r>
      <w:hyperlink r:id="rId36" w:tooltip="CIT 508 Training Webpage" w:history="1">
        <w:bookmarkEnd w:id="6"/>
        <w:r w:rsidR="004D1137">
          <w:rPr>
            <w:rStyle w:val="Hyperlink"/>
            <w:rFonts w:cs="Arial"/>
            <w:szCs w:val="24"/>
          </w:rPr>
          <w:t>CIT Section 508 Accessibility Training Website</w:t>
        </w:r>
      </w:hyperlink>
      <w:r w:rsidRPr="004467E3">
        <w:rPr>
          <w:rFonts w:cs="Arial"/>
          <w:szCs w:val="24"/>
        </w:rPr>
        <w:t>.</w:t>
      </w:r>
    </w:p>
    <w:p w14:paraId="4C0437BD" w14:textId="77777777" w:rsidR="004C4D13" w:rsidRPr="00C66CE4" w:rsidRDefault="004C4D13" w:rsidP="007A0C73">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14:paraId="58DB2E9E" w14:textId="6D5667F7" w:rsidR="002B2CC4" w:rsidRDefault="004C4D13" w:rsidP="007A0C73">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37"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14:paraId="3675F726" w14:textId="77777777" w:rsidR="006168F2" w:rsidRPr="006168F2" w:rsidRDefault="006168F2" w:rsidP="007A0C73">
      <w:pPr>
        <w:spacing w:before="480" w:after="160" w:line="240" w:lineRule="auto"/>
        <w:rPr>
          <w:rFonts w:cs="Arial"/>
          <w:b/>
          <w:bCs/>
        </w:rPr>
      </w:pPr>
      <w:r w:rsidRPr="006168F2">
        <w:rPr>
          <w:rFonts w:eastAsia="Calibri" w:cs="Arial"/>
          <w:b/>
          <w:bCs/>
          <w:color w:val="000000" w:themeColor="text1"/>
          <w:szCs w:val="24"/>
        </w:rPr>
        <w:t>T</w:t>
      </w:r>
      <w:r w:rsidRPr="006168F2">
        <w:rPr>
          <w:rFonts w:cs="Arial"/>
          <w:b/>
          <w:bCs/>
        </w:rPr>
        <w:t>HANKS!</w:t>
      </w:r>
    </w:p>
    <w:p w14:paraId="669732A3" w14:textId="77777777" w:rsidR="006168F2" w:rsidRPr="006168F2" w:rsidRDefault="006168F2" w:rsidP="007A0C73">
      <w:pPr>
        <w:spacing w:after="120" w:line="240" w:lineRule="auto"/>
        <w:rPr>
          <w:rFonts w:cs="Arial"/>
          <w:bCs/>
          <w:szCs w:val="24"/>
        </w:rPr>
      </w:pPr>
      <w:r w:rsidRPr="006168F2">
        <w:rPr>
          <w:rFonts w:cs="Arial"/>
          <w:bCs/>
          <w:szCs w:val="24"/>
        </w:rPr>
        <w:t>We would like to thank all those who contributed to this and future editions of the OALM Newsletter.</w:t>
      </w:r>
    </w:p>
    <w:p w14:paraId="517E7C24" w14:textId="77777777" w:rsidR="006168F2" w:rsidRPr="006168F2" w:rsidRDefault="006168F2" w:rsidP="007A0C73">
      <w:pPr>
        <w:spacing w:after="120" w:line="240" w:lineRule="auto"/>
        <w:rPr>
          <w:rFonts w:eastAsia="Calibri" w:cs="Arial"/>
          <w:szCs w:val="24"/>
        </w:rPr>
      </w:pPr>
      <w:r w:rsidRPr="006168F2">
        <w:rPr>
          <w:rFonts w:eastAsia="Calibri" w:cs="Arial"/>
          <w:szCs w:val="24"/>
        </w:rPr>
        <w:t>The OALM Newsletter will be published four (4) times in calendar year 2022. We encourage staff to submit articles that would be of interest to our readers. We will do our best to include such articles in future editions of the OALM Newsletter.</w:t>
      </w:r>
    </w:p>
    <w:p w14:paraId="7C6D649D" w14:textId="518C0087" w:rsidR="006168F2" w:rsidRPr="006168F2" w:rsidRDefault="006168F2" w:rsidP="007A0C73">
      <w:pPr>
        <w:widowControl w:val="0"/>
        <w:spacing w:line="240" w:lineRule="auto"/>
        <w:rPr>
          <w:rFonts w:cs="Arial"/>
          <w:sz w:val="18"/>
        </w:rPr>
      </w:pPr>
      <w:r w:rsidRPr="006168F2">
        <w:rPr>
          <w:rFonts w:eastAsia="Calibri" w:cs="Arial"/>
          <w:szCs w:val="24"/>
        </w:rPr>
        <w:t>P</w:t>
      </w:r>
      <w:r w:rsidRPr="006168F2">
        <w:rPr>
          <w:rFonts w:eastAsia="Calibri" w:cs="Arial"/>
          <w:spacing w:val="-1"/>
          <w:szCs w:val="24"/>
        </w:rPr>
        <w:t>l</w:t>
      </w:r>
      <w:r w:rsidRPr="006168F2">
        <w:rPr>
          <w:rFonts w:eastAsia="Calibri" w:cs="Arial"/>
          <w:szCs w:val="24"/>
        </w:rPr>
        <w:t>ease</w:t>
      </w:r>
      <w:r w:rsidRPr="006168F2">
        <w:rPr>
          <w:rFonts w:eastAsia="Calibri" w:cs="Arial"/>
          <w:spacing w:val="-1"/>
          <w:szCs w:val="24"/>
        </w:rPr>
        <w:t xml:space="preserve"> </w:t>
      </w:r>
      <w:r w:rsidRPr="006168F2">
        <w:rPr>
          <w:rFonts w:eastAsia="Calibri" w:cs="Arial"/>
          <w:szCs w:val="24"/>
        </w:rPr>
        <w:t>a</w:t>
      </w:r>
      <w:r w:rsidRPr="006168F2">
        <w:rPr>
          <w:rFonts w:eastAsia="Calibri" w:cs="Arial"/>
          <w:spacing w:val="-2"/>
          <w:szCs w:val="24"/>
        </w:rPr>
        <w:t>d</w:t>
      </w:r>
      <w:r w:rsidRPr="006168F2">
        <w:rPr>
          <w:rFonts w:eastAsia="Calibri" w:cs="Arial"/>
          <w:szCs w:val="24"/>
        </w:rPr>
        <w:t>d</w:t>
      </w:r>
      <w:r w:rsidRPr="006168F2">
        <w:rPr>
          <w:rFonts w:eastAsia="Calibri" w:cs="Arial"/>
          <w:spacing w:val="-1"/>
          <w:szCs w:val="24"/>
        </w:rPr>
        <w:t>r</w:t>
      </w:r>
      <w:r w:rsidRPr="006168F2">
        <w:rPr>
          <w:rFonts w:eastAsia="Calibri" w:cs="Arial"/>
          <w:szCs w:val="24"/>
        </w:rPr>
        <w:t>ess a</w:t>
      </w:r>
      <w:r w:rsidRPr="006168F2">
        <w:rPr>
          <w:rFonts w:eastAsia="Calibri" w:cs="Arial"/>
          <w:spacing w:val="-1"/>
          <w:szCs w:val="24"/>
        </w:rPr>
        <w:t>l</w:t>
      </w:r>
      <w:r w:rsidRPr="006168F2">
        <w:rPr>
          <w:rFonts w:eastAsia="Calibri" w:cs="Arial"/>
          <w:szCs w:val="24"/>
        </w:rPr>
        <w:t>l co</w:t>
      </w:r>
      <w:r w:rsidRPr="006168F2">
        <w:rPr>
          <w:rFonts w:eastAsia="Calibri" w:cs="Arial"/>
          <w:spacing w:val="-1"/>
          <w:szCs w:val="24"/>
        </w:rPr>
        <w:t>r</w:t>
      </w:r>
      <w:r w:rsidRPr="006168F2">
        <w:rPr>
          <w:rFonts w:eastAsia="Calibri" w:cs="Arial"/>
          <w:spacing w:val="-3"/>
          <w:szCs w:val="24"/>
        </w:rPr>
        <w:t>r</w:t>
      </w:r>
      <w:r w:rsidRPr="006168F2">
        <w:rPr>
          <w:rFonts w:eastAsia="Calibri" w:cs="Arial"/>
          <w:szCs w:val="24"/>
        </w:rPr>
        <w:t>esp</w:t>
      </w:r>
      <w:r w:rsidRPr="006168F2">
        <w:rPr>
          <w:rFonts w:eastAsia="Calibri" w:cs="Arial"/>
          <w:spacing w:val="-2"/>
          <w:szCs w:val="24"/>
        </w:rPr>
        <w:t>o</w:t>
      </w:r>
      <w:r w:rsidRPr="006168F2">
        <w:rPr>
          <w:rFonts w:eastAsia="Calibri" w:cs="Arial"/>
          <w:szCs w:val="24"/>
        </w:rPr>
        <w:t>nd</w:t>
      </w:r>
      <w:r w:rsidRPr="006168F2">
        <w:rPr>
          <w:rFonts w:eastAsia="Calibri" w:cs="Arial"/>
          <w:spacing w:val="-2"/>
          <w:szCs w:val="24"/>
        </w:rPr>
        <w:t>e</w:t>
      </w:r>
      <w:r w:rsidRPr="006168F2">
        <w:rPr>
          <w:rFonts w:eastAsia="Calibri" w:cs="Arial"/>
          <w:szCs w:val="24"/>
        </w:rPr>
        <w:t>nce</w:t>
      </w:r>
      <w:r w:rsidRPr="006168F2">
        <w:rPr>
          <w:rFonts w:eastAsia="Calibri" w:cs="Arial"/>
          <w:spacing w:val="2"/>
          <w:szCs w:val="24"/>
        </w:rPr>
        <w:t xml:space="preserve"> </w:t>
      </w:r>
      <w:r w:rsidRPr="006168F2">
        <w:rPr>
          <w:rFonts w:eastAsia="Calibri" w:cs="Arial"/>
          <w:spacing w:val="-2"/>
          <w:szCs w:val="24"/>
        </w:rPr>
        <w:t>t</w:t>
      </w:r>
      <w:r w:rsidRPr="006168F2">
        <w:rPr>
          <w:rFonts w:eastAsia="Calibri" w:cs="Arial"/>
          <w:szCs w:val="24"/>
        </w:rPr>
        <w:t>o</w:t>
      </w:r>
      <w:r w:rsidRPr="006168F2">
        <w:rPr>
          <w:rFonts w:eastAsia="Calibri" w:cs="Arial"/>
          <w:spacing w:val="2"/>
          <w:szCs w:val="24"/>
        </w:rPr>
        <w:t xml:space="preserve"> </w:t>
      </w:r>
      <w:r w:rsidRPr="006168F2">
        <w:rPr>
          <w:rFonts w:eastAsia="Calibri" w:cs="Arial"/>
          <w:spacing w:val="-2"/>
          <w:szCs w:val="24"/>
        </w:rPr>
        <w:t>t</w:t>
      </w:r>
      <w:r w:rsidRPr="006168F2">
        <w:rPr>
          <w:rFonts w:eastAsia="Calibri" w:cs="Arial"/>
          <w:szCs w:val="24"/>
        </w:rPr>
        <w:t>he</w:t>
      </w:r>
      <w:r w:rsidRPr="006168F2">
        <w:rPr>
          <w:rFonts w:eastAsia="Calibri" w:cs="Arial"/>
          <w:spacing w:val="-1"/>
          <w:szCs w:val="24"/>
        </w:rPr>
        <w:t xml:space="preserve"> </w:t>
      </w:r>
      <w:r w:rsidRPr="006168F2">
        <w:rPr>
          <w:rFonts w:eastAsia="Calibri" w:cs="Arial"/>
          <w:szCs w:val="24"/>
        </w:rPr>
        <w:t>ed</w:t>
      </w:r>
      <w:r w:rsidRPr="006168F2">
        <w:rPr>
          <w:rFonts w:eastAsia="Calibri" w:cs="Arial"/>
          <w:spacing w:val="-1"/>
          <w:szCs w:val="24"/>
        </w:rPr>
        <w:t>i</w:t>
      </w:r>
      <w:r w:rsidRPr="006168F2">
        <w:rPr>
          <w:rFonts w:eastAsia="Calibri" w:cs="Arial"/>
          <w:spacing w:val="-2"/>
          <w:szCs w:val="24"/>
        </w:rPr>
        <w:t>t</w:t>
      </w:r>
      <w:r w:rsidRPr="006168F2">
        <w:rPr>
          <w:rFonts w:eastAsia="Calibri" w:cs="Arial"/>
          <w:szCs w:val="24"/>
        </w:rPr>
        <w:t>o</w:t>
      </w:r>
      <w:r w:rsidRPr="006168F2">
        <w:rPr>
          <w:rFonts w:eastAsia="Calibri" w:cs="Arial"/>
          <w:spacing w:val="-1"/>
          <w:szCs w:val="24"/>
        </w:rPr>
        <w:t>r</w:t>
      </w:r>
      <w:r w:rsidRPr="006168F2">
        <w:rPr>
          <w:rFonts w:eastAsia="Calibri" w:cs="Arial"/>
          <w:szCs w:val="24"/>
        </w:rPr>
        <w:t>s:</w:t>
      </w:r>
      <w:r w:rsidRPr="006168F2">
        <w:rPr>
          <w:rFonts w:eastAsia="Calibri" w:cs="Arial"/>
          <w:spacing w:val="-1"/>
          <w:szCs w:val="24"/>
        </w:rPr>
        <w:t xml:space="preserve"> </w:t>
      </w:r>
      <w:r w:rsidRPr="006168F2">
        <w:rPr>
          <w:rFonts w:eastAsia="Calibri" w:cs="Arial"/>
          <w:szCs w:val="24"/>
        </w:rPr>
        <w:t xml:space="preserve">Alan Ambrose, </w:t>
      </w:r>
      <w:hyperlink r:id="rId38" w:tooltip="AmbroseA@od.nih.gov" w:history="1">
        <w:r w:rsidRPr="006168F2">
          <w:rPr>
            <w:rFonts w:cs="Arial"/>
            <w:color w:val="0563C1" w:themeColor="hyperlink"/>
            <w:szCs w:val="24"/>
            <w:u w:val="single"/>
          </w:rPr>
          <w:t>AmbroseA@od.nih.gov</w:t>
        </w:r>
      </w:hyperlink>
      <w:r w:rsidRPr="006168F2">
        <w:rPr>
          <w:rFonts w:cs="Arial"/>
          <w:color w:val="1F497D"/>
          <w:szCs w:val="24"/>
        </w:rPr>
        <w:t xml:space="preserve">, </w:t>
      </w:r>
      <w:r w:rsidRPr="006168F2">
        <w:rPr>
          <w:rFonts w:eastAsia="Calibri" w:cs="Arial"/>
          <w:szCs w:val="24"/>
        </w:rPr>
        <w:t>Jesse</w:t>
      </w:r>
      <w:r w:rsidRPr="006168F2">
        <w:rPr>
          <w:rFonts w:eastAsia="Calibri" w:cs="Arial"/>
          <w:spacing w:val="-1"/>
          <w:szCs w:val="24"/>
        </w:rPr>
        <w:t xml:space="preserve"> </w:t>
      </w:r>
      <w:r w:rsidRPr="006168F2">
        <w:rPr>
          <w:rFonts w:eastAsia="Calibri" w:cs="Arial"/>
          <w:szCs w:val="24"/>
        </w:rPr>
        <w:t>Lee</w:t>
      </w:r>
      <w:r w:rsidRPr="006168F2">
        <w:rPr>
          <w:rFonts w:eastAsia="Calibri" w:cs="Arial"/>
          <w:spacing w:val="-1"/>
          <w:szCs w:val="24"/>
        </w:rPr>
        <w:t>,</w:t>
      </w:r>
      <w:r w:rsidRPr="006168F2">
        <w:rPr>
          <w:rFonts w:eastAsia="Calibri" w:cs="Arial"/>
          <w:szCs w:val="24"/>
        </w:rPr>
        <w:t xml:space="preserve"> </w:t>
      </w:r>
      <w:hyperlink r:id="rId39" w:tooltip="Jesse.Lee2@nih.gov" w:history="1">
        <w:r w:rsidRPr="006168F2">
          <w:rPr>
            <w:rFonts w:eastAsia="Calibri" w:cs="Arial"/>
            <w:color w:val="0563C1" w:themeColor="hyperlink"/>
            <w:szCs w:val="24"/>
            <w:u w:val="single"/>
          </w:rPr>
          <w:t>Jesse</w:t>
        </w:r>
        <w:r w:rsidRPr="006168F2">
          <w:rPr>
            <w:rFonts w:eastAsia="Calibri" w:cs="Arial"/>
            <w:color w:val="0563C1" w:themeColor="hyperlink"/>
            <w:spacing w:val="-2"/>
            <w:szCs w:val="24"/>
            <w:u w:val="single"/>
          </w:rPr>
          <w:t>.</w:t>
        </w:r>
        <w:r w:rsidRPr="006168F2">
          <w:rPr>
            <w:rFonts w:eastAsia="Calibri" w:cs="Arial"/>
            <w:color w:val="0563C1" w:themeColor="hyperlink"/>
            <w:szCs w:val="24"/>
            <w:u w:val="single"/>
          </w:rPr>
          <w:t>Le</w:t>
        </w:r>
        <w:r w:rsidRPr="006168F2">
          <w:rPr>
            <w:rFonts w:eastAsia="Calibri" w:cs="Arial"/>
            <w:color w:val="0563C1" w:themeColor="hyperlink"/>
            <w:spacing w:val="-2"/>
            <w:szCs w:val="24"/>
            <w:u w:val="single"/>
          </w:rPr>
          <w:t>e</w:t>
        </w:r>
        <w:r w:rsidRPr="006168F2">
          <w:rPr>
            <w:rFonts w:eastAsia="Calibri" w:cs="Arial"/>
            <w:color w:val="0563C1" w:themeColor="hyperlink"/>
            <w:szCs w:val="24"/>
            <w:u w:val="single"/>
          </w:rPr>
          <w:t>2</w:t>
        </w:r>
        <w:r w:rsidRPr="006168F2">
          <w:rPr>
            <w:rFonts w:eastAsia="Calibri" w:cs="Arial"/>
            <w:color w:val="0563C1" w:themeColor="hyperlink"/>
            <w:spacing w:val="-1"/>
            <w:szCs w:val="24"/>
            <w:u w:val="single"/>
          </w:rPr>
          <w:t>@ni</w:t>
        </w:r>
        <w:r w:rsidRPr="006168F2">
          <w:rPr>
            <w:rFonts w:eastAsia="Calibri" w:cs="Arial"/>
            <w:color w:val="0563C1" w:themeColor="hyperlink"/>
            <w:szCs w:val="24"/>
            <w:u w:val="single"/>
          </w:rPr>
          <w:t>h.</w:t>
        </w:r>
        <w:r w:rsidRPr="006168F2">
          <w:rPr>
            <w:rFonts w:eastAsia="Calibri" w:cs="Arial"/>
            <w:color w:val="0563C1" w:themeColor="hyperlink"/>
            <w:spacing w:val="-1"/>
            <w:szCs w:val="24"/>
            <w:u w:val="single"/>
          </w:rPr>
          <w:t>g</w:t>
        </w:r>
        <w:r w:rsidRPr="006168F2">
          <w:rPr>
            <w:rFonts w:eastAsia="Calibri" w:cs="Arial"/>
            <w:color w:val="0563C1" w:themeColor="hyperlink"/>
            <w:szCs w:val="24"/>
            <w:u w:val="single"/>
          </w:rPr>
          <w:t>o</w:t>
        </w:r>
        <w:r w:rsidRPr="006168F2">
          <w:rPr>
            <w:rFonts w:eastAsia="Calibri" w:cs="Arial"/>
            <w:color w:val="0563C1" w:themeColor="hyperlink"/>
            <w:spacing w:val="-2"/>
            <w:szCs w:val="24"/>
            <w:u w:val="single"/>
          </w:rPr>
          <w:t>v</w:t>
        </w:r>
      </w:hyperlink>
      <w:r w:rsidRPr="006168F2">
        <w:rPr>
          <w:rFonts w:eastAsia="Calibri" w:cs="Arial"/>
          <w:szCs w:val="24"/>
        </w:rPr>
        <w:t xml:space="preserve">, </w:t>
      </w:r>
      <w:r w:rsidRPr="006168F2">
        <w:rPr>
          <w:rFonts w:cs="Arial"/>
          <w:color w:val="000000" w:themeColor="text1"/>
          <w:szCs w:val="24"/>
        </w:rPr>
        <w:t xml:space="preserve">Luke Makenzie, </w:t>
      </w:r>
      <w:hyperlink r:id="rId40" w:tooltip="Luke.Makenzie@nih.gov" w:history="1">
        <w:r w:rsidRPr="006168F2">
          <w:rPr>
            <w:rFonts w:cs="Arial"/>
            <w:color w:val="0563C1" w:themeColor="hyperlink"/>
            <w:szCs w:val="24"/>
            <w:u w:val="single"/>
          </w:rPr>
          <w:t>Luke.Makenzie@nih.gov</w:t>
        </w:r>
      </w:hyperlink>
      <w:r w:rsidRPr="006168F2">
        <w:rPr>
          <w:rFonts w:cs="Arial"/>
          <w:color w:val="1F497D"/>
          <w:szCs w:val="24"/>
        </w:rPr>
        <w:t xml:space="preserve">, </w:t>
      </w:r>
      <w:r w:rsidRPr="006168F2">
        <w:rPr>
          <w:rFonts w:eastAsia="Calibri" w:cs="Arial"/>
          <w:szCs w:val="24"/>
        </w:rPr>
        <w:t xml:space="preserve">or </w:t>
      </w:r>
      <w:r w:rsidRPr="006168F2">
        <w:rPr>
          <w:rFonts w:eastAsia="Calibri" w:cs="Arial"/>
          <w:color w:val="000000"/>
          <w:szCs w:val="24"/>
        </w:rPr>
        <w:t xml:space="preserve"> Michele </w:t>
      </w:r>
      <w:r w:rsidRPr="006168F2">
        <w:rPr>
          <w:rFonts w:eastAsia="Calibri" w:cs="Arial"/>
          <w:spacing w:val="-1"/>
          <w:szCs w:val="24"/>
        </w:rPr>
        <w:t>M</w:t>
      </w:r>
      <w:r w:rsidRPr="006168F2">
        <w:rPr>
          <w:rFonts w:eastAsia="Calibri" w:cs="Arial"/>
          <w:szCs w:val="24"/>
        </w:rPr>
        <w:t>c</w:t>
      </w:r>
      <w:r w:rsidRPr="006168F2">
        <w:rPr>
          <w:rFonts w:eastAsia="Calibri" w:cs="Arial"/>
          <w:spacing w:val="-1"/>
          <w:szCs w:val="24"/>
        </w:rPr>
        <w:t>D</w:t>
      </w:r>
      <w:r w:rsidRPr="006168F2">
        <w:rPr>
          <w:rFonts w:eastAsia="Calibri" w:cs="Arial"/>
          <w:szCs w:val="24"/>
        </w:rPr>
        <w:t>e</w:t>
      </w:r>
      <w:r w:rsidRPr="006168F2">
        <w:rPr>
          <w:rFonts w:eastAsia="Calibri" w:cs="Arial"/>
          <w:spacing w:val="-1"/>
          <w:szCs w:val="24"/>
        </w:rPr>
        <w:t>r</w:t>
      </w:r>
      <w:r w:rsidRPr="006168F2">
        <w:rPr>
          <w:rFonts w:eastAsia="Calibri" w:cs="Arial"/>
          <w:spacing w:val="2"/>
          <w:szCs w:val="24"/>
        </w:rPr>
        <w:t>m</w:t>
      </w:r>
      <w:r w:rsidRPr="006168F2">
        <w:rPr>
          <w:rFonts w:eastAsia="Calibri" w:cs="Arial"/>
          <w:szCs w:val="24"/>
        </w:rPr>
        <w:t xml:space="preserve">ott, </w:t>
      </w:r>
      <w:hyperlink r:id="rId41" w:tooltip="McDermottMl@od.nih.gov" w:history="1">
        <w:r w:rsidRPr="006168F2">
          <w:rPr>
            <w:rFonts w:cs="Arial"/>
            <w:color w:val="0563C1" w:themeColor="hyperlink"/>
            <w:szCs w:val="24"/>
            <w:u w:val="single"/>
          </w:rPr>
          <w:t>McDermottMl@od.nih.gov</w:t>
        </w:r>
      </w:hyperlink>
      <w:r w:rsidRPr="006168F2">
        <w:rPr>
          <w:rFonts w:cs="Arial"/>
          <w:color w:val="0563C1" w:themeColor="hyperlink"/>
          <w:szCs w:val="24"/>
          <w:u w:val="single"/>
        </w:rPr>
        <w:t>.</w:t>
      </w:r>
    </w:p>
    <w:p w14:paraId="0BB9DEB0" w14:textId="77777777" w:rsidR="006168F2" w:rsidRPr="006168F2" w:rsidRDefault="006168F2" w:rsidP="007A0C73">
      <w:pPr>
        <w:spacing w:after="120" w:line="240" w:lineRule="auto"/>
        <w:rPr>
          <w:rFonts w:eastAsia="Calibri" w:cs="Arial"/>
          <w:color w:val="0000FF"/>
          <w:position w:val="-1"/>
          <w:szCs w:val="24"/>
        </w:rPr>
      </w:pPr>
    </w:p>
    <w:p w14:paraId="26DF5CE0" w14:textId="399A8A4F" w:rsidR="002B2CC4" w:rsidRDefault="006168F2" w:rsidP="007A0C73">
      <w:pPr>
        <w:spacing w:line="240" w:lineRule="auto"/>
        <w:rPr>
          <w:rFonts w:eastAsia="Calibri" w:cs="Arial"/>
          <w:color w:val="000000" w:themeColor="text1"/>
          <w:szCs w:val="24"/>
        </w:rPr>
      </w:pPr>
      <w:r w:rsidRPr="006168F2">
        <w:rPr>
          <w:rFonts w:cs="Arial"/>
          <w:szCs w:val="24"/>
        </w:rPr>
        <w:t xml:space="preserve">If </w:t>
      </w:r>
      <w:r w:rsidRPr="006168F2">
        <w:rPr>
          <w:rFonts w:cs="Arial"/>
          <w:spacing w:val="-2"/>
          <w:szCs w:val="24"/>
        </w:rPr>
        <w:t>y</w:t>
      </w:r>
      <w:r w:rsidRPr="006168F2">
        <w:rPr>
          <w:rFonts w:cs="Arial"/>
          <w:szCs w:val="24"/>
        </w:rPr>
        <w:t>ou</w:t>
      </w:r>
      <w:r w:rsidRPr="006168F2">
        <w:rPr>
          <w:rFonts w:cs="Arial"/>
          <w:spacing w:val="2"/>
          <w:szCs w:val="24"/>
        </w:rPr>
        <w:t xml:space="preserve"> </w:t>
      </w:r>
      <w:r w:rsidRPr="006168F2">
        <w:rPr>
          <w:rFonts w:cs="Arial"/>
          <w:szCs w:val="24"/>
        </w:rPr>
        <w:t>ha</w:t>
      </w:r>
      <w:r w:rsidRPr="006168F2">
        <w:rPr>
          <w:rFonts w:cs="Arial"/>
          <w:spacing w:val="-2"/>
          <w:szCs w:val="24"/>
        </w:rPr>
        <w:t>v</w:t>
      </w:r>
      <w:r w:rsidRPr="006168F2">
        <w:rPr>
          <w:rFonts w:cs="Arial"/>
          <w:szCs w:val="24"/>
        </w:rPr>
        <w:t>e</w:t>
      </w:r>
      <w:r w:rsidRPr="006168F2">
        <w:rPr>
          <w:rFonts w:cs="Arial"/>
          <w:spacing w:val="2"/>
          <w:szCs w:val="24"/>
        </w:rPr>
        <w:t xml:space="preserve"> </w:t>
      </w:r>
      <w:r w:rsidRPr="006168F2">
        <w:rPr>
          <w:rFonts w:cs="Arial"/>
          <w:spacing w:val="-1"/>
          <w:szCs w:val="24"/>
        </w:rPr>
        <w:t>a</w:t>
      </w:r>
      <w:r w:rsidRPr="006168F2">
        <w:rPr>
          <w:rFonts w:cs="Arial"/>
          <w:szCs w:val="24"/>
        </w:rPr>
        <w:t>ny</w:t>
      </w:r>
      <w:r w:rsidRPr="006168F2">
        <w:rPr>
          <w:rFonts w:cs="Arial"/>
          <w:spacing w:val="-2"/>
          <w:szCs w:val="24"/>
        </w:rPr>
        <w:t xml:space="preserve"> </w:t>
      </w:r>
      <w:r w:rsidRPr="006168F2">
        <w:rPr>
          <w:rFonts w:cs="Arial"/>
          <w:spacing w:val="-1"/>
          <w:szCs w:val="24"/>
        </w:rPr>
        <w:t>q</w:t>
      </w:r>
      <w:r w:rsidRPr="006168F2">
        <w:rPr>
          <w:rFonts w:cs="Arial"/>
          <w:szCs w:val="24"/>
        </w:rPr>
        <w:t>uest</w:t>
      </w:r>
      <w:r w:rsidRPr="006168F2">
        <w:rPr>
          <w:rFonts w:cs="Arial"/>
          <w:spacing w:val="-1"/>
          <w:szCs w:val="24"/>
        </w:rPr>
        <w:t>i</w:t>
      </w:r>
      <w:r w:rsidRPr="006168F2">
        <w:rPr>
          <w:rFonts w:cs="Arial"/>
          <w:szCs w:val="24"/>
        </w:rPr>
        <w:t xml:space="preserve">ons or </w:t>
      </w:r>
      <w:r w:rsidRPr="006168F2">
        <w:rPr>
          <w:rFonts w:cs="Arial"/>
          <w:spacing w:val="-2"/>
          <w:szCs w:val="24"/>
        </w:rPr>
        <w:t>c</w:t>
      </w:r>
      <w:r w:rsidRPr="006168F2">
        <w:rPr>
          <w:rFonts w:cs="Arial"/>
          <w:szCs w:val="24"/>
        </w:rPr>
        <w:t>o</w:t>
      </w:r>
      <w:r w:rsidRPr="006168F2">
        <w:rPr>
          <w:rFonts w:cs="Arial"/>
          <w:spacing w:val="-1"/>
          <w:szCs w:val="24"/>
        </w:rPr>
        <w:t>m</w:t>
      </w:r>
      <w:r w:rsidRPr="006168F2">
        <w:rPr>
          <w:rFonts w:cs="Arial"/>
          <w:spacing w:val="2"/>
          <w:szCs w:val="24"/>
        </w:rPr>
        <w:t>m</w:t>
      </w:r>
      <w:r w:rsidRPr="006168F2">
        <w:rPr>
          <w:rFonts w:cs="Arial"/>
          <w:spacing w:val="-1"/>
          <w:szCs w:val="24"/>
        </w:rPr>
        <w:t>e</w:t>
      </w:r>
      <w:r w:rsidRPr="006168F2">
        <w:rPr>
          <w:rFonts w:cs="Arial"/>
          <w:szCs w:val="24"/>
        </w:rPr>
        <w:t xml:space="preserve">nts </w:t>
      </w:r>
      <w:r w:rsidRPr="006168F2">
        <w:rPr>
          <w:rFonts w:cs="Arial"/>
          <w:spacing w:val="-1"/>
          <w:szCs w:val="24"/>
        </w:rPr>
        <w:t>r</w:t>
      </w:r>
      <w:r w:rsidRPr="006168F2">
        <w:rPr>
          <w:rFonts w:cs="Arial"/>
          <w:szCs w:val="24"/>
        </w:rPr>
        <w:t>e</w:t>
      </w:r>
      <w:r w:rsidRPr="006168F2">
        <w:rPr>
          <w:rFonts w:cs="Arial"/>
          <w:spacing w:val="-2"/>
          <w:szCs w:val="24"/>
        </w:rPr>
        <w:t>g</w:t>
      </w:r>
      <w:r w:rsidRPr="006168F2">
        <w:rPr>
          <w:rFonts w:cs="Arial"/>
          <w:spacing w:val="-1"/>
          <w:szCs w:val="24"/>
        </w:rPr>
        <w:t>ar</w:t>
      </w:r>
      <w:r w:rsidRPr="006168F2">
        <w:rPr>
          <w:rFonts w:cs="Arial"/>
          <w:szCs w:val="24"/>
        </w:rPr>
        <w:t>d</w:t>
      </w:r>
      <w:r w:rsidRPr="006168F2">
        <w:rPr>
          <w:rFonts w:cs="Arial"/>
          <w:spacing w:val="-1"/>
          <w:szCs w:val="24"/>
        </w:rPr>
        <w:t>i</w:t>
      </w:r>
      <w:r w:rsidRPr="006168F2">
        <w:rPr>
          <w:rFonts w:cs="Arial"/>
          <w:szCs w:val="24"/>
        </w:rPr>
        <w:t>ng</w:t>
      </w:r>
      <w:r w:rsidRPr="006168F2">
        <w:rPr>
          <w:rFonts w:cs="Arial"/>
          <w:spacing w:val="-1"/>
          <w:szCs w:val="24"/>
        </w:rPr>
        <w:t xml:space="preserve"> </w:t>
      </w:r>
      <w:r w:rsidRPr="006168F2">
        <w:rPr>
          <w:rFonts w:cs="Arial"/>
          <w:szCs w:val="24"/>
        </w:rPr>
        <w:t>the</w:t>
      </w:r>
      <w:r w:rsidRPr="006168F2">
        <w:rPr>
          <w:rFonts w:cs="Arial"/>
          <w:spacing w:val="2"/>
          <w:szCs w:val="24"/>
        </w:rPr>
        <w:t xml:space="preserve"> </w:t>
      </w:r>
      <w:r w:rsidRPr="006168F2">
        <w:rPr>
          <w:rFonts w:cs="Arial"/>
          <w:spacing w:val="-1"/>
          <w:szCs w:val="24"/>
        </w:rPr>
        <w:t>in</w:t>
      </w:r>
      <w:r w:rsidRPr="006168F2">
        <w:rPr>
          <w:rFonts w:cs="Arial"/>
          <w:szCs w:val="24"/>
        </w:rPr>
        <w:t>fo</w:t>
      </w:r>
      <w:r w:rsidRPr="006168F2">
        <w:rPr>
          <w:rFonts w:cs="Arial"/>
          <w:spacing w:val="-1"/>
          <w:szCs w:val="24"/>
        </w:rPr>
        <w:t>rm</w:t>
      </w:r>
      <w:r w:rsidRPr="006168F2">
        <w:rPr>
          <w:rFonts w:cs="Arial"/>
          <w:szCs w:val="24"/>
        </w:rPr>
        <w:t>at</w:t>
      </w:r>
      <w:r w:rsidRPr="006168F2">
        <w:rPr>
          <w:rFonts w:cs="Arial"/>
          <w:spacing w:val="-1"/>
          <w:szCs w:val="24"/>
        </w:rPr>
        <w:t>i</w:t>
      </w:r>
      <w:r w:rsidRPr="006168F2">
        <w:rPr>
          <w:rFonts w:cs="Arial"/>
          <w:szCs w:val="24"/>
        </w:rPr>
        <w:t>o</w:t>
      </w:r>
      <w:r w:rsidRPr="006168F2">
        <w:rPr>
          <w:rFonts w:cs="Arial"/>
          <w:spacing w:val="-2"/>
          <w:szCs w:val="24"/>
        </w:rPr>
        <w:t>n</w:t>
      </w:r>
      <w:r w:rsidRPr="006168F2">
        <w:rPr>
          <w:rFonts w:cs="Arial"/>
          <w:szCs w:val="24"/>
        </w:rPr>
        <w:t xml:space="preserve">, </w:t>
      </w:r>
      <w:r w:rsidRPr="006168F2">
        <w:rPr>
          <w:rFonts w:cs="Arial"/>
          <w:spacing w:val="-1"/>
          <w:szCs w:val="24"/>
        </w:rPr>
        <w:t>p</w:t>
      </w:r>
      <w:r w:rsidRPr="006168F2">
        <w:rPr>
          <w:rFonts w:cs="Arial"/>
          <w:szCs w:val="24"/>
        </w:rPr>
        <w:t>o</w:t>
      </w:r>
      <w:r w:rsidRPr="006168F2">
        <w:rPr>
          <w:rFonts w:cs="Arial"/>
          <w:spacing w:val="-1"/>
          <w:szCs w:val="24"/>
        </w:rPr>
        <w:t>li</w:t>
      </w:r>
      <w:r w:rsidRPr="006168F2">
        <w:rPr>
          <w:rFonts w:cs="Arial"/>
          <w:szCs w:val="24"/>
        </w:rPr>
        <w:t>cy</w:t>
      </w:r>
      <w:r w:rsidRPr="006168F2">
        <w:rPr>
          <w:rFonts w:cs="Arial"/>
          <w:spacing w:val="-2"/>
          <w:szCs w:val="24"/>
        </w:rPr>
        <w:t xml:space="preserve"> </w:t>
      </w:r>
      <w:r w:rsidRPr="006168F2">
        <w:rPr>
          <w:rFonts w:cs="Arial"/>
          <w:szCs w:val="24"/>
        </w:rPr>
        <w:t>and/or p</w:t>
      </w:r>
      <w:r w:rsidRPr="006168F2">
        <w:rPr>
          <w:rFonts w:cs="Arial"/>
          <w:spacing w:val="-1"/>
          <w:szCs w:val="24"/>
        </w:rPr>
        <w:t>r</w:t>
      </w:r>
      <w:r w:rsidRPr="006168F2">
        <w:rPr>
          <w:rFonts w:cs="Arial"/>
          <w:szCs w:val="24"/>
        </w:rPr>
        <w:t>oce</w:t>
      </w:r>
      <w:r w:rsidRPr="006168F2">
        <w:rPr>
          <w:rFonts w:cs="Arial"/>
          <w:spacing w:val="-2"/>
          <w:szCs w:val="24"/>
        </w:rPr>
        <w:t>d</w:t>
      </w:r>
      <w:r w:rsidRPr="006168F2">
        <w:rPr>
          <w:rFonts w:cs="Arial"/>
          <w:szCs w:val="24"/>
        </w:rPr>
        <w:t>u</w:t>
      </w:r>
      <w:r w:rsidRPr="006168F2">
        <w:rPr>
          <w:rFonts w:cs="Arial"/>
          <w:spacing w:val="-1"/>
          <w:szCs w:val="24"/>
        </w:rPr>
        <w:t>r</w:t>
      </w:r>
      <w:r w:rsidRPr="006168F2">
        <w:rPr>
          <w:rFonts w:cs="Arial"/>
          <w:szCs w:val="24"/>
        </w:rPr>
        <w:t xml:space="preserve">es </w:t>
      </w:r>
      <w:r w:rsidRPr="006168F2">
        <w:rPr>
          <w:rFonts w:cs="Arial"/>
          <w:spacing w:val="-1"/>
          <w:szCs w:val="24"/>
        </w:rPr>
        <w:t>p</w:t>
      </w:r>
      <w:r w:rsidRPr="006168F2">
        <w:rPr>
          <w:rFonts w:cs="Arial"/>
          <w:szCs w:val="24"/>
        </w:rPr>
        <w:t>ub</w:t>
      </w:r>
      <w:r w:rsidRPr="006168F2">
        <w:rPr>
          <w:rFonts w:cs="Arial"/>
          <w:spacing w:val="-1"/>
          <w:szCs w:val="24"/>
        </w:rPr>
        <w:t>li</w:t>
      </w:r>
      <w:r w:rsidRPr="006168F2">
        <w:rPr>
          <w:rFonts w:cs="Arial"/>
          <w:szCs w:val="24"/>
        </w:rPr>
        <w:t>sh</w:t>
      </w:r>
      <w:r w:rsidRPr="006168F2">
        <w:rPr>
          <w:rFonts w:cs="Arial"/>
          <w:spacing w:val="-2"/>
          <w:szCs w:val="24"/>
        </w:rPr>
        <w:t>e</w:t>
      </w:r>
      <w:r w:rsidRPr="006168F2">
        <w:rPr>
          <w:rFonts w:cs="Arial"/>
          <w:szCs w:val="24"/>
        </w:rPr>
        <w:t>d</w:t>
      </w:r>
      <w:r w:rsidRPr="006168F2">
        <w:rPr>
          <w:rFonts w:cs="Arial"/>
          <w:spacing w:val="2"/>
          <w:szCs w:val="24"/>
        </w:rPr>
        <w:t xml:space="preserve"> </w:t>
      </w:r>
      <w:r w:rsidRPr="006168F2">
        <w:rPr>
          <w:rFonts w:cs="Arial"/>
          <w:spacing w:val="-3"/>
          <w:szCs w:val="24"/>
        </w:rPr>
        <w:t>i</w:t>
      </w:r>
      <w:r w:rsidRPr="006168F2">
        <w:rPr>
          <w:rFonts w:cs="Arial"/>
          <w:szCs w:val="24"/>
        </w:rPr>
        <w:t>n</w:t>
      </w:r>
      <w:r w:rsidRPr="006168F2">
        <w:rPr>
          <w:rFonts w:cs="Arial"/>
          <w:spacing w:val="2"/>
          <w:szCs w:val="24"/>
        </w:rPr>
        <w:t xml:space="preserve"> </w:t>
      </w:r>
      <w:r w:rsidRPr="006168F2">
        <w:rPr>
          <w:rFonts w:cs="Arial"/>
          <w:szCs w:val="24"/>
        </w:rPr>
        <w:t>th</w:t>
      </w:r>
      <w:r w:rsidRPr="006168F2">
        <w:rPr>
          <w:rFonts w:cs="Arial"/>
          <w:spacing w:val="-1"/>
          <w:szCs w:val="24"/>
        </w:rPr>
        <w:t>i</w:t>
      </w:r>
      <w:r w:rsidRPr="006168F2">
        <w:rPr>
          <w:rFonts w:cs="Arial"/>
          <w:szCs w:val="24"/>
        </w:rPr>
        <w:t xml:space="preserve">s </w:t>
      </w:r>
      <w:r w:rsidRPr="006168F2">
        <w:rPr>
          <w:rFonts w:cs="Arial"/>
          <w:spacing w:val="-1"/>
          <w:szCs w:val="24"/>
        </w:rPr>
        <w:t>i</w:t>
      </w:r>
      <w:r w:rsidRPr="006168F2">
        <w:rPr>
          <w:rFonts w:cs="Arial"/>
          <w:szCs w:val="24"/>
        </w:rPr>
        <w:t>ss</w:t>
      </w:r>
      <w:r w:rsidRPr="006168F2">
        <w:rPr>
          <w:rFonts w:cs="Arial"/>
          <w:spacing w:val="-1"/>
          <w:szCs w:val="24"/>
        </w:rPr>
        <w:t>u</w:t>
      </w:r>
      <w:r w:rsidRPr="006168F2">
        <w:rPr>
          <w:rFonts w:cs="Arial"/>
          <w:szCs w:val="24"/>
        </w:rPr>
        <w:t xml:space="preserve">e, </w:t>
      </w:r>
      <w:r w:rsidRPr="006168F2">
        <w:rPr>
          <w:rFonts w:cs="Arial"/>
          <w:spacing w:val="-2"/>
          <w:szCs w:val="24"/>
        </w:rPr>
        <w:t>y</w:t>
      </w:r>
      <w:r w:rsidRPr="006168F2">
        <w:rPr>
          <w:rFonts w:cs="Arial"/>
          <w:szCs w:val="24"/>
        </w:rPr>
        <w:t>ou</w:t>
      </w:r>
      <w:r w:rsidRPr="006168F2">
        <w:rPr>
          <w:rFonts w:cs="Arial"/>
          <w:spacing w:val="-1"/>
          <w:szCs w:val="24"/>
        </w:rPr>
        <w:t xml:space="preserve"> </w:t>
      </w:r>
      <w:r w:rsidRPr="006168F2">
        <w:rPr>
          <w:rFonts w:cs="Arial"/>
          <w:spacing w:val="2"/>
          <w:szCs w:val="24"/>
        </w:rPr>
        <w:t>m</w:t>
      </w:r>
      <w:r w:rsidRPr="006168F2">
        <w:rPr>
          <w:rFonts w:cs="Arial"/>
          <w:szCs w:val="24"/>
        </w:rPr>
        <w:t>ay</w:t>
      </w:r>
      <w:r w:rsidRPr="006168F2">
        <w:rPr>
          <w:rFonts w:cs="Arial"/>
          <w:spacing w:val="-2"/>
          <w:szCs w:val="24"/>
        </w:rPr>
        <w:t xml:space="preserve"> </w:t>
      </w:r>
      <w:r w:rsidRPr="006168F2">
        <w:rPr>
          <w:rFonts w:cs="Arial"/>
          <w:szCs w:val="24"/>
        </w:rPr>
        <w:t>conta</w:t>
      </w:r>
      <w:r w:rsidRPr="006168F2">
        <w:rPr>
          <w:rFonts w:cs="Arial"/>
          <w:spacing w:val="-2"/>
          <w:szCs w:val="24"/>
        </w:rPr>
        <w:t>c</w:t>
      </w:r>
      <w:r w:rsidRPr="006168F2">
        <w:rPr>
          <w:rFonts w:cs="Arial"/>
          <w:szCs w:val="24"/>
        </w:rPr>
        <w:t xml:space="preserve">t </w:t>
      </w:r>
      <w:r w:rsidR="008A362E">
        <w:rPr>
          <w:rFonts w:cs="Arial"/>
          <w:szCs w:val="24"/>
        </w:rPr>
        <w:t>Jesse Lee</w:t>
      </w:r>
      <w:r w:rsidRPr="006168F2">
        <w:rPr>
          <w:rFonts w:cs="Arial"/>
          <w:szCs w:val="24"/>
        </w:rPr>
        <w:t xml:space="preserve"> at t</w:t>
      </w:r>
      <w:r w:rsidRPr="006168F2">
        <w:rPr>
          <w:rFonts w:cs="Arial"/>
          <w:spacing w:val="-1"/>
          <w:szCs w:val="24"/>
        </w:rPr>
        <w:t>h</w:t>
      </w:r>
      <w:r w:rsidRPr="006168F2">
        <w:rPr>
          <w:rFonts w:cs="Arial"/>
          <w:szCs w:val="24"/>
        </w:rPr>
        <w:t>e</w:t>
      </w:r>
      <w:r w:rsidRPr="006168F2">
        <w:rPr>
          <w:rFonts w:cs="Arial"/>
          <w:spacing w:val="2"/>
          <w:szCs w:val="24"/>
        </w:rPr>
        <w:t xml:space="preserve"> </w:t>
      </w:r>
      <w:r w:rsidRPr="006168F2">
        <w:rPr>
          <w:rFonts w:cs="Arial"/>
          <w:szCs w:val="24"/>
        </w:rPr>
        <w:t>e</w:t>
      </w:r>
      <w:r w:rsidRPr="006168F2">
        <w:rPr>
          <w:rFonts w:cs="Arial"/>
          <w:spacing w:val="-3"/>
          <w:szCs w:val="24"/>
        </w:rPr>
        <w:t>-</w:t>
      </w:r>
      <w:r w:rsidRPr="006168F2">
        <w:rPr>
          <w:rFonts w:cs="Arial"/>
          <w:spacing w:val="2"/>
          <w:szCs w:val="24"/>
        </w:rPr>
        <w:t>m</w:t>
      </w:r>
      <w:r w:rsidRPr="006168F2">
        <w:rPr>
          <w:rFonts w:cs="Arial"/>
          <w:szCs w:val="24"/>
        </w:rPr>
        <w:t>ail add</w:t>
      </w:r>
      <w:r w:rsidRPr="006168F2">
        <w:rPr>
          <w:rFonts w:cs="Arial"/>
          <w:spacing w:val="-1"/>
          <w:szCs w:val="24"/>
        </w:rPr>
        <w:t>r</w:t>
      </w:r>
      <w:r w:rsidRPr="006168F2">
        <w:rPr>
          <w:rFonts w:cs="Arial"/>
          <w:szCs w:val="24"/>
        </w:rPr>
        <w:t>ess</w:t>
      </w:r>
      <w:r w:rsidRPr="006168F2">
        <w:rPr>
          <w:rFonts w:cs="Arial"/>
          <w:spacing w:val="-2"/>
          <w:szCs w:val="24"/>
        </w:rPr>
        <w:t xml:space="preserve"> </w:t>
      </w:r>
      <w:r w:rsidRPr="006168F2">
        <w:rPr>
          <w:rFonts w:cs="Arial"/>
          <w:szCs w:val="24"/>
        </w:rPr>
        <w:t>a</w:t>
      </w:r>
      <w:r w:rsidRPr="006168F2">
        <w:rPr>
          <w:rFonts w:cs="Arial"/>
          <w:spacing w:val="-2"/>
          <w:szCs w:val="24"/>
        </w:rPr>
        <w:t>b</w:t>
      </w:r>
      <w:r w:rsidRPr="006168F2">
        <w:rPr>
          <w:rFonts w:cs="Arial"/>
          <w:szCs w:val="24"/>
        </w:rPr>
        <w:t>o</w:t>
      </w:r>
      <w:r w:rsidRPr="006168F2">
        <w:rPr>
          <w:rFonts w:cs="Arial"/>
          <w:spacing w:val="-2"/>
          <w:szCs w:val="24"/>
        </w:rPr>
        <w:t>v</w:t>
      </w:r>
      <w:r w:rsidRPr="006168F2">
        <w:rPr>
          <w:rFonts w:cs="Arial"/>
          <w:szCs w:val="24"/>
        </w:rPr>
        <w:t>e. For</w:t>
      </w:r>
      <w:r w:rsidRPr="006168F2">
        <w:rPr>
          <w:rFonts w:cs="Arial"/>
          <w:spacing w:val="-2"/>
          <w:szCs w:val="24"/>
        </w:rPr>
        <w:t xml:space="preserve"> </w:t>
      </w:r>
      <w:r w:rsidRPr="006168F2">
        <w:rPr>
          <w:rFonts w:cs="Arial"/>
          <w:spacing w:val="3"/>
          <w:szCs w:val="24"/>
        </w:rPr>
        <w:t>f</w:t>
      </w:r>
      <w:r w:rsidRPr="006168F2">
        <w:rPr>
          <w:rFonts w:cs="Arial"/>
          <w:spacing w:val="-1"/>
          <w:szCs w:val="24"/>
        </w:rPr>
        <w:t>u</w:t>
      </w:r>
      <w:r w:rsidRPr="006168F2">
        <w:rPr>
          <w:rFonts w:cs="Arial"/>
          <w:szCs w:val="24"/>
        </w:rPr>
        <w:t>tu</w:t>
      </w:r>
      <w:r w:rsidRPr="006168F2">
        <w:rPr>
          <w:rFonts w:cs="Arial"/>
          <w:spacing w:val="-1"/>
          <w:szCs w:val="24"/>
        </w:rPr>
        <w:t>r</w:t>
      </w:r>
      <w:r w:rsidRPr="006168F2">
        <w:rPr>
          <w:rFonts w:cs="Arial"/>
          <w:szCs w:val="24"/>
        </w:rPr>
        <w:t>e</w:t>
      </w:r>
      <w:r w:rsidRPr="006168F2">
        <w:rPr>
          <w:rFonts w:cs="Arial"/>
          <w:spacing w:val="2"/>
          <w:szCs w:val="24"/>
        </w:rPr>
        <w:t xml:space="preserve"> </w:t>
      </w:r>
      <w:r w:rsidRPr="006168F2">
        <w:rPr>
          <w:rFonts w:cs="Arial"/>
          <w:spacing w:val="-1"/>
          <w:szCs w:val="24"/>
        </w:rPr>
        <w:t>i</w:t>
      </w:r>
      <w:r w:rsidRPr="006168F2">
        <w:rPr>
          <w:rFonts w:cs="Arial"/>
          <w:szCs w:val="24"/>
        </w:rPr>
        <w:t>ssues</w:t>
      </w:r>
      <w:r w:rsidRPr="006168F2">
        <w:rPr>
          <w:rFonts w:cs="Arial"/>
          <w:spacing w:val="-2"/>
          <w:szCs w:val="24"/>
        </w:rPr>
        <w:t xml:space="preserve"> </w:t>
      </w:r>
      <w:r w:rsidRPr="006168F2">
        <w:rPr>
          <w:rFonts w:cs="Arial"/>
          <w:szCs w:val="24"/>
        </w:rPr>
        <w:t>p</w:t>
      </w:r>
      <w:r w:rsidRPr="006168F2">
        <w:rPr>
          <w:rFonts w:cs="Arial"/>
          <w:spacing w:val="-1"/>
          <w:szCs w:val="24"/>
        </w:rPr>
        <w:t>le</w:t>
      </w:r>
      <w:r w:rsidRPr="006168F2">
        <w:rPr>
          <w:rFonts w:cs="Arial"/>
          <w:szCs w:val="24"/>
        </w:rPr>
        <w:t>ase</w:t>
      </w:r>
      <w:r w:rsidRPr="006168F2">
        <w:rPr>
          <w:rFonts w:cs="Arial"/>
          <w:spacing w:val="2"/>
          <w:szCs w:val="24"/>
        </w:rPr>
        <w:t xml:space="preserve"> </w:t>
      </w:r>
      <w:r w:rsidRPr="006168F2">
        <w:rPr>
          <w:rFonts w:cs="Arial"/>
          <w:spacing w:val="-2"/>
          <w:szCs w:val="24"/>
        </w:rPr>
        <w:t>c</w:t>
      </w:r>
      <w:r w:rsidRPr="006168F2">
        <w:rPr>
          <w:rFonts w:cs="Arial"/>
          <w:szCs w:val="24"/>
        </w:rPr>
        <w:t>on</w:t>
      </w:r>
      <w:r w:rsidRPr="006168F2">
        <w:rPr>
          <w:rFonts w:cs="Arial"/>
          <w:spacing w:val="-2"/>
          <w:szCs w:val="24"/>
        </w:rPr>
        <w:t>t</w:t>
      </w:r>
      <w:r w:rsidRPr="006168F2">
        <w:rPr>
          <w:rFonts w:cs="Arial"/>
          <w:szCs w:val="24"/>
        </w:rPr>
        <w:t>act t</w:t>
      </w:r>
      <w:r w:rsidRPr="006168F2">
        <w:rPr>
          <w:rFonts w:cs="Arial"/>
          <w:spacing w:val="-1"/>
          <w:szCs w:val="24"/>
        </w:rPr>
        <w:t>h</w:t>
      </w:r>
      <w:r w:rsidRPr="006168F2">
        <w:rPr>
          <w:rFonts w:cs="Arial"/>
          <w:szCs w:val="24"/>
        </w:rPr>
        <w:t>e</w:t>
      </w:r>
      <w:r w:rsidRPr="006168F2">
        <w:rPr>
          <w:rFonts w:cs="Arial"/>
          <w:spacing w:val="2"/>
          <w:szCs w:val="24"/>
        </w:rPr>
        <w:t xml:space="preserve"> </w:t>
      </w:r>
      <w:r w:rsidRPr="006168F2">
        <w:rPr>
          <w:rFonts w:cs="Arial"/>
          <w:szCs w:val="24"/>
        </w:rPr>
        <w:t>S</w:t>
      </w:r>
      <w:r w:rsidRPr="006168F2">
        <w:rPr>
          <w:rFonts w:cs="Arial"/>
          <w:spacing w:val="-3"/>
          <w:szCs w:val="24"/>
        </w:rPr>
        <w:t>i</w:t>
      </w:r>
      <w:r w:rsidRPr="006168F2">
        <w:rPr>
          <w:rFonts w:cs="Arial"/>
          <w:spacing w:val="2"/>
          <w:szCs w:val="24"/>
        </w:rPr>
        <w:t>m</w:t>
      </w:r>
      <w:r w:rsidRPr="006168F2">
        <w:rPr>
          <w:rFonts w:cs="Arial"/>
          <w:szCs w:val="24"/>
        </w:rPr>
        <w:t>p</w:t>
      </w:r>
      <w:r w:rsidRPr="006168F2">
        <w:rPr>
          <w:rFonts w:cs="Arial"/>
          <w:spacing w:val="-1"/>
          <w:szCs w:val="24"/>
        </w:rPr>
        <w:t>l</w:t>
      </w:r>
      <w:r w:rsidRPr="006168F2">
        <w:rPr>
          <w:rFonts w:cs="Arial"/>
          <w:spacing w:val="-3"/>
          <w:szCs w:val="24"/>
        </w:rPr>
        <w:t>i</w:t>
      </w:r>
      <w:r w:rsidRPr="006168F2">
        <w:rPr>
          <w:rFonts w:cs="Arial"/>
          <w:spacing w:val="3"/>
          <w:szCs w:val="24"/>
        </w:rPr>
        <w:t>f</w:t>
      </w:r>
      <w:r w:rsidRPr="006168F2">
        <w:rPr>
          <w:rFonts w:cs="Arial"/>
          <w:spacing w:val="-1"/>
          <w:szCs w:val="24"/>
        </w:rPr>
        <w:t>i</w:t>
      </w:r>
      <w:r w:rsidRPr="006168F2">
        <w:rPr>
          <w:rFonts w:cs="Arial"/>
          <w:szCs w:val="24"/>
        </w:rPr>
        <w:t>ed</w:t>
      </w:r>
      <w:r w:rsidRPr="006168F2">
        <w:rPr>
          <w:rFonts w:cs="Arial"/>
          <w:spacing w:val="-1"/>
          <w:szCs w:val="24"/>
        </w:rPr>
        <w:t xml:space="preserve"> </w:t>
      </w:r>
      <w:r w:rsidRPr="006168F2">
        <w:rPr>
          <w:rFonts w:cs="Arial"/>
          <w:szCs w:val="24"/>
        </w:rPr>
        <w:t>Ac</w:t>
      </w:r>
      <w:r w:rsidRPr="006168F2">
        <w:rPr>
          <w:rFonts w:cs="Arial"/>
          <w:spacing w:val="-1"/>
          <w:szCs w:val="24"/>
        </w:rPr>
        <w:t>qui</w:t>
      </w:r>
      <w:r w:rsidRPr="006168F2">
        <w:rPr>
          <w:rFonts w:cs="Arial"/>
          <w:szCs w:val="24"/>
        </w:rPr>
        <w:t>s</w:t>
      </w:r>
      <w:r w:rsidRPr="006168F2">
        <w:rPr>
          <w:rFonts w:cs="Arial"/>
          <w:spacing w:val="-1"/>
          <w:szCs w:val="24"/>
        </w:rPr>
        <w:t>i</w:t>
      </w:r>
      <w:r w:rsidRPr="006168F2">
        <w:rPr>
          <w:rFonts w:cs="Arial"/>
          <w:szCs w:val="24"/>
        </w:rPr>
        <w:t>t</w:t>
      </w:r>
      <w:r w:rsidRPr="006168F2">
        <w:rPr>
          <w:rFonts w:cs="Arial"/>
          <w:spacing w:val="-1"/>
          <w:szCs w:val="24"/>
        </w:rPr>
        <w:t>i</w:t>
      </w:r>
      <w:r w:rsidRPr="006168F2">
        <w:rPr>
          <w:rFonts w:cs="Arial"/>
          <w:szCs w:val="24"/>
        </w:rPr>
        <w:t xml:space="preserve">ons </w:t>
      </w:r>
      <w:r w:rsidRPr="006168F2">
        <w:rPr>
          <w:rFonts w:cs="Arial"/>
          <w:spacing w:val="-1"/>
          <w:szCs w:val="24"/>
        </w:rPr>
        <w:t>H</w:t>
      </w:r>
      <w:r w:rsidRPr="006168F2">
        <w:rPr>
          <w:rFonts w:cs="Arial"/>
          <w:szCs w:val="24"/>
        </w:rPr>
        <w:t>e</w:t>
      </w:r>
      <w:r w:rsidRPr="006168F2">
        <w:rPr>
          <w:rFonts w:cs="Arial"/>
          <w:spacing w:val="-1"/>
          <w:szCs w:val="24"/>
        </w:rPr>
        <w:t>l</w:t>
      </w:r>
      <w:r w:rsidRPr="006168F2">
        <w:rPr>
          <w:rFonts w:cs="Arial"/>
          <w:szCs w:val="24"/>
        </w:rPr>
        <w:t>p</w:t>
      </w:r>
      <w:r w:rsidRPr="006168F2">
        <w:rPr>
          <w:rFonts w:cs="Arial"/>
          <w:spacing w:val="-1"/>
          <w:szCs w:val="24"/>
        </w:rPr>
        <w:t>li</w:t>
      </w:r>
      <w:r w:rsidRPr="006168F2">
        <w:rPr>
          <w:rFonts w:cs="Arial"/>
          <w:szCs w:val="24"/>
        </w:rPr>
        <w:t>ne</w:t>
      </w:r>
      <w:r w:rsidRPr="006168F2">
        <w:rPr>
          <w:rFonts w:cs="Arial"/>
          <w:spacing w:val="-1"/>
          <w:szCs w:val="24"/>
        </w:rPr>
        <w:t xml:space="preserve"> </w:t>
      </w:r>
      <w:r w:rsidRPr="006168F2">
        <w:rPr>
          <w:rFonts w:cs="Arial"/>
          <w:szCs w:val="24"/>
        </w:rPr>
        <w:t>on 301</w:t>
      </w:r>
      <w:r w:rsidRPr="006168F2">
        <w:rPr>
          <w:rFonts w:cs="Arial"/>
          <w:spacing w:val="-1"/>
          <w:szCs w:val="24"/>
        </w:rPr>
        <w:t>-4</w:t>
      </w:r>
      <w:r w:rsidRPr="006168F2">
        <w:rPr>
          <w:rFonts w:cs="Arial"/>
          <w:szCs w:val="24"/>
        </w:rPr>
        <w:t>96</w:t>
      </w:r>
      <w:r w:rsidRPr="006168F2">
        <w:rPr>
          <w:rFonts w:cs="Arial"/>
          <w:spacing w:val="-1"/>
          <w:szCs w:val="24"/>
        </w:rPr>
        <w:t>-</w:t>
      </w:r>
      <w:r w:rsidRPr="006168F2">
        <w:rPr>
          <w:rFonts w:cs="Arial"/>
          <w:szCs w:val="24"/>
        </w:rPr>
        <w:t>0</w:t>
      </w:r>
      <w:r w:rsidRPr="006168F2">
        <w:rPr>
          <w:rFonts w:cs="Arial"/>
          <w:spacing w:val="-2"/>
          <w:szCs w:val="24"/>
        </w:rPr>
        <w:t>4</w:t>
      </w:r>
      <w:r w:rsidRPr="006168F2">
        <w:rPr>
          <w:rFonts w:cs="Arial"/>
          <w:szCs w:val="24"/>
        </w:rPr>
        <w:t>00</w:t>
      </w:r>
      <w:r w:rsidRPr="006168F2">
        <w:rPr>
          <w:rFonts w:cs="Arial"/>
          <w:spacing w:val="-1"/>
          <w:szCs w:val="24"/>
        </w:rPr>
        <w:t xml:space="preserve"> </w:t>
      </w:r>
      <w:r w:rsidRPr="006168F2">
        <w:rPr>
          <w:rFonts w:cs="Arial"/>
          <w:szCs w:val="24"/>
        </w:rPr>
        <w:t xml:space="preserve">or </w:t>
      </w:r>
      <w:r w:rsidRPr="006168F2">
        <w:rPr>
          <w:rFonts w:cs="Arial"/>
          <w:spacing w:val="-2"/>
          <w:szCs w:val="24"/>
        </w:rPr>
        <w:t>v</w:t>
      </w:r>
      <w:r w:rsidRPr="006168F2">
        <w:rPr>
          <w:rFonts w:cs="Arial"/>
          <w:spacing w:val="-1"/>
          <w:szCs w:val="24"/>
        </w:rPr>
        <w:t>i</w:t>
      </w:r>
      <w:r w:rsidRPr="006168F2">
        <w:rPr>
          <w:rFonts w:cs="Arial"/>
          <w:szCs w:val="24"/>
        </w:rPr>
        <w:t>a</w:t>
      </w:r>
      <w:r w:rsidRPr="006168F2">
        <w:rPr>
          <w:rFonts w:cs="Arial"/>
          <w:spacing w:val="2"/>
          <w:szCs w:val="24"/>
        </w:rPr>
        <w:t xml:space="preserve"> </w:t>
      </w:r>
      <w:r w:rsidRPr="006168F2">
        <w:rPr>
          <w:rFonts w:cs="Arial"/>
          <w:szCs w:val="24"/>
        </w:rPr>
        <w:t>e</w:t>
      </w:r>
      <w:r w:rsidRPr="006168F2">
        <w:rPr>
          <w:rFonts w:cs="Arial"/>
          <w:spacing w:val="-1"/>
          <w:szCs w:val="24"/>
        </w:rPr>
        <w:t>-</w:t>
      </w:r>
      <w:r w:rsidRPr="006168F2">
        <w:rPr>
          <w:rFonts w:cs="Arial"/>
          <w:spacing w:val="2"/>
          <w:szCs w:val="24"/>
        </w:rPr>
        <w:t>m</w:t>
      </w:r>
      <w:r w:rsidRPr="006168F2">
        <w:rPr>
          <w:rFonts w:cs="Arial"/>
          <w:szCs w:val="24"/>
        </w:rPr>
        <w:t xml:space="preserve">ail at </w:t>
      </w:r>
      <w:hyperlink r:id="rId42" w:tooltip="OALMnewsletter@mail.nih.gov" w:history="1">
        <w:r w:rsidRPr="006168F2">
          <w:rPr>
            <w:rFonts w:cs="Arial"/>
            <w:color w:val="0563C1" w:themeColor="hyperlink"/>
            <w:szCs w:val="24"/>
            <w:u w:val="single"/>
          </w:rPr>
          <w:t>OALMnewsletter@mail.nih.gov</w:t>
        </w:r>
      </w:hyperlink>
      <w:hyperlink>
        <w:r w:rsidRPr="006168F2">
          <w:rPr>
            <w:rFonts w:cs="Arial"/>
            <w:color w:val="000000"/>
            <w:szCs w:val="24"/>
          </w:rPr>
          <w:t xml:space="preserve"> and</w:t>
        </w:r>
        <w:r w:rsidRPr="006168F2">
          <w:rPr>
            <w:rFonts w:cs="Arial"/>
            <w:color w:val="000000"/>
            <w:spacing w:val="-1"/>
            <w:szCs w:val="24"/>
          </w:rPr>
          <w:t xml:space="preserve"> </w:t>
        </w:r>
        <w:r w:rsidRPr="006168F2">
          <w:rPr>
            <w:rFonts w:cs="Arial"/>
            <w:color w:val="000000"/>
            <w:spacing w:val="-2"/>
            <w:szCs w:val="24"/>
          </w:rPr>
          <w:t>y</w:t>
        </w:r>
        <w:r w:rsidRPr="006168F2">
          <w:rPr>
            <w:rFonts w:cs="Arial"/>
            <w:color w:val="000000"/>
            <w:szCs w:val="24"/>
          </w:rPr>
          <w:t>ou</w:t>
        </w:r>
        <w:r w:rsidRPr="006168F2">
          <w:rPr>
            <w:rFonts w:cs="Arial"/>
            <w:color w:val="000000"/>
            <w:spacing w:val="2"/>
            <w:szCs w:val="24"/>
          </w:rPr>
          <w:t xml:space="preserve"> </w:t>
        </w:r>
        <w:r w:rsidRPr="006168F2">
          <w:rPr>
            <w:rFonts w:cs="Arial"/>
            <w:color w:val="000000"/>
            <w:spacing w:val="-3"/>
            <w:szCs w:val="24"/>
          </w:rPr>
          <w:t>w</w:t>
        </w:r>
        <w:r w:rsidRPr="006168F2">
          <w:rPr>
            <w:rFonts w:cs="Arial"/>
            <w:color w:val="000000"/>
            <w:spacing w:val="-1"/>
            <w:szCs w:val="24"/>
          </w:rPr>
          <w:t>il</w:t>
        </w:r>
        <w:r w:rsidRPr="006168F2">
          <w:rPr>
            <w:rFonts w:cs="Arial"/>
            <w:color w:val="000000"/>
            <w:szCs w:val="24"/>
          </w:rPr>
          <w:t xml:space="preserve">l be </w:t>
        </w:r>
        <w:r w:rsidRPr="006168F2">
          <w:rPr>
            <w:rFonts w:cs="Arial"/>
            <w:color w:val="000000"/>
            <w:spacing w:val="-1"/>
            <w:szCs w:val="24"/>
          </w:rPr>
          <w:t>r</w:t>
        </w:r>
        <w:r w:rsidRPr="006168F2">
          <w:rPr>
            <w:rFonts w:cs="Arial"/>
            <w:color w:val="000000"/>
            <w:szCs w:val="24"/>
          </w:rPr>
          <w:t>efe</w:t>
        </w:r>
        <w:r w:rsidRPr="006168F2">
          <w:rPr>
            <w:rFonts w:cs="Arial"/>
            <w:color w:val="000000"/>
            <w:spacing w:val="-1"/>
            <w:szCs w:val="24"/>
          </w:rPr>
          <w:t>rr</w:t>
        </w:r>
        <w:r w:rsidRPr="006168F2">
          <w:rPr>
            <w:rFonts w:cs="Arial"/>
            <w:color w:val="000000"/>
            <w:szCs w:val="24"/>
          </w:rPr>
          <w:t>ed</w:t>
        </w:r>
        <w:r w:rsidRPr="006168F2">
          <w:rPr>
            <w:rFonts w:cs="Arial"/>
            <w:color w:val="000000"/>
            <w:spacing w:val="2"/>
            <w:szCs w:val="24"/>
          </w:rPr>
          <w:t xml:space="preserve"> </w:t>
        </w:r>
        <w:r w:rsidRPr="006168F2">
          <w:rPr>
            <w:rFonts w:cs="Arial"/>
            <w:color w:val="000000"/>
            <w:spacing w:val="-2"/>
            <w:szCs w:val="24"/>
          </w:rPr>
          <w:t>t</w:t>
        </w:r>
        <w:r w:rsidRPr="006168F2">
          <w:rPr>
            <w:rFonts w:cs="Arial"/>
            <w:color w:val="000000"/>
            <w:szCs w:val="24"/>
          </w:rPr>
          <w:t>o</w:t>
        </w:r>
        <w:r w:rsidRPr="006168F2">
          <w:rPr>
            <w:rFonts w:cs="Arial"/>
            <w:color w:val="000000"/>
            <w:spacing w:val="2"/>
            <w:szCs w:val="24"/>
          </w:rPr>
          <w:t xml:space="preserve"> </w:t>
        </w:r>
        <w:r w:rsidRPr="006168F2">
          <w:rPr>
            <w:rFonts w:cs="Arial"/>
            <w:color w:val="000000"/>
            <w:szCs w:val="24"/>
          </w:rPr>
          <w:t>t</w:t>
        </w:r>
        <w:r w:rsidRPr="006168F2">
          <w:rPr>
            <w:rFonts w:cs="Arial"/>
            <w:color w:val="000000"/>
            <w:spacing w:val="-1"/>
            <w:szCs w:val="24"/>
          </w:rPr>
          <w:t>h</w:t>
        </w:r>
        <w:r w:rsidRPr="006168F2">
          <w:rPr>
            <w:rFonts w:cs="Arial"/>
            <w:color w:val="000000"/>
            <w:szCs w:val="24"/>
          </w:rPr>
          <w:t>e</w:t>
        </w:r>
        <w:r w:rsidRPr="006168F2">
          <w:rPr>
            <w:rFonts w:cs="Arial"/>
            <w:color w:val="000000"/>
            <w:spacing w:val="2"/>
            <w:szCs w:val="24"/>
          </w:rPr>
          <w:t xml:space="preserve"> </w:t>
        </w:r>
        <w:r w:rsidRPr="006168F2">
          <w:rPr>
            <w:rFonts w:cs="Arial"/>
            <w:color w:val="000000"/>
            <w:spacing w:val="-1"/>
            <w:szCs w:val="24"/>
          </w:rPr>
          <w:t>a</w:t>
        </w:r>
        <w:r w:rsidRPr="006168F2">
          <w:rPr>
            <w:rFonts w:cs="Arial"/>
            <w:color w:val="000000"/>
            <w:szCs w:val="24"/>
          </w:rPr>
          <w:t>pp</w:t>
        </w:r>
        <w:r w:rsidRPr="006168F2">
          <w:rPr>
            <w:rFonts w:cs="Arial"/>
            <w:color w:val="000000"/>
            <w:spacing w:val="-1"/>
            <w:szCs w:val="24"/>
          </w:rPr>
          <w:t>ro</w:t>
        </w:r>
        <w:r w:rsidRPr="006168F2">
          <w:rPr>
            <w:rFonts w:cs="Arial"/>
            <w:color w:val="000000"/>
            <w:szCs w:val="24"/>
          </w:rPr>
          <w:t>p</w:t>
        </w:r>
        <w:r w:rsidRPr="006168F2">
          <w:rPr>
            <w:rFonts w:cs="Arial"/>
            <w:color w:val="000000"/>
            <w:spacing w:val="-1"/>
            <w:szCs w:val="24"/>
          </w:rPr>
          <w:t>ri</w:t>
        </w:r>
        <w:r w:rsidRPr="006168F2">
          <w:rPr>
            <w:rFonts w:cs="Arial"/>
            <w:color w:val="000000"/>
            <w:szCs w:val="24"/>
          </w:rPr>
          <w:t>ate</w:t>
        </w:r>
        <w:r w:rsidRPr="006168F2">
          <w:rPr>
            <w:rFonts w:cs="Arial"/>
            <w:color w:val="000000"/>
            <w:spacing w:val="-1"/>
            <w:szCs w:val="24"/>
          </w:rPr>
          <w:t xml:space="preserve"> </w:t>
        </w:r>
        <w:r w:rsidRPr="006168F2">
          <w:rPr>
            <w:rFonts w:cs="Arial"/>
            <w:color w:val="000000"/>
            <w:szCs w:val="24"/>
          </w:rPr>
          <w:t>ed</w:t>
        </w:r>
        <w:r w:rsidRPr="006168F2">
          <w:rPr>
            <w:rFonts w:cs="Arial"/>
            <w:color w:val="000000"/>
            <w:spacing w:val="-1"/>
            <w:szCs w:val="24"/>
          </w:rPr>
          <w:t>i</w:t>
        </w:r>
        <w:r w:rsidRPr="006168F2">
          <w:rPr>
            <w:rFonts w:cs="Arial"/>
            <w:color w:val="000000"/>
            <w:szCs w:val="24"/>
          </w:rPr>
          <w:t>to</w:t>
        </w:r>
        <w:r w:rsidRPr="006168F2">
          <w:rPr>
            <w:rFonts w:cs="Arial"/>
            <w:color w:val="000000"/>
            <w:spacing w:val="-1"/>
            <w:szCs w:val="24"/>
          </w:rPr>
          <w:t>r</w:t>
        </w:r>
        <w:r w:rsidRPr="006168F2">
          <w:rPr>
            <w:rFonts w:cs="Arial"/>
            <w:color w:val="000000"/>
            <w:szCs w:val="24"/>
          </w:rPr>
          <w:t>.</w:t>
        </w:r>
      </w:hyperlink>
      <w:r w:rsidRPr="006168F2">
        <w:rPr>
          <w:rFonts w:cs="Arial"/>
        </w:rPr>
        <w:t xml:space="preserve"> </w:t>
      </w:r>
    </w:p>
    <w:p w14:paraId="3F1D87BD" w14:textId="3024B594" w:rsidR="004C4D13" w:rsidRPr="000361C3" w:rsidRDefault="004C4D13" w:rsidP="007A0C73">
      <w:pPr>
        <w:pStyle w:val="Heading1"/>
        <w:spacing w:before="0" w:line="240" w:lineRule="auto"/>
        <w:jc w:val="left"/>
        <w:rPr>
          <w:rFonts w:cs="Arial"/>
          <w:szCs w:val="32"/>
        </w:rPr>
      </w:pPr>
    </w:p>
    <w:sectPr w:rsidR="004C4D13" w:rsidRPr="000361C3" w:rsidSect="00A52FC9">
      <w:headerReference w:type="default" r:id="rId43"/>
      <w:footerReference w:type="default" r:id="rId44"/>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C62F" w14:textId="77777777" w:rsidR="00115FC4" w:rsidRDefault="00115FC4" w:rsidP="004C4D13">
      <w:pPr>
        <w:spacing w:line="240" w:lineRule="auto"/>
      </w:pPr>
      <w:r>
        <w:separator/>
      </w:r>
    </w:p>
  </w:endnote>
  <w:endnote w:type="continuationSeparator" w:id="0">
    <w:p w14:paraId="14AE63A1" w14:textId="77777777" w:rsidR="00115FC4" w:rsidRDefault="00115FC4"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5244"/>
      <w:docPartObj>
        <w:docPartGallery w:val="Page Numbers (Bottom of Page)"/>
        <w:docPartUnique/>
      </w:docPartObj>
    </w:sdtPr>
    <w:sdtEndPr>
      <w:rPr>
        <w:noProof/>
      </w:rPr>
    </w:sdtEndPr>
    <w:sdtContent>
      <w:p w14:paraId="5677D9A6" w14:textId="77777777"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14:paraId="4EE5937D" w14:textId="77777777"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B436" w14:textId="77777777" w:rsidR="00115FC4" w:rsidRDefault="00115FC4" w:rsidP="004C4D13">
      <w:pPr>
        <w:spacing w:line="240" w:lineRule="auto"/>
      </w:pPr>
      <w:r>
        <w:separator/>
      </w:r>
    </w:p>
  </w:footnote>
  <w:footnote w:type="continuationSeparator" w:id="0">
    <w:p w14:paraId="12FB3F43" w14:textId="77777777" w:rsidR="00115FC4" w:rsidRDefault="00115FC4"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9B2" w14:textId="77777777"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6B499144"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 xml:space="preserve">agement Newsletter – </w:t>
    </w:r>
    <w:r w:rsidR="003B7246">
      <w:rPr>
        <w:rStyle w:val="Strong"/>
        <w:rFonts w:cs="Arial"/>
        <w:sz w:val="32"/>
        <w:szCs w:val="32"/>
      </w:rPr>
      <w:t>4th</w:t>
    </w:r>
    <w:r w:rsidR="00920FFB">
      <w:rPr>
        <w:rStyle w:val="Strong"/>
        <w:rFonts w:cs="Arial"/>
        <w:sz w:val="32"/>
        <w:szCs w:val="32"/>
      </w:rPr>
      <w:t xml:space="preserve"> Quarter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210"/>
    <w:multiLevelType w:val="hybridMultilevel"/>
    <w:tmpl w:val="45AE82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5867"/>
    <w:multiLevelType w:val="hybridMultilevel"/>
    <w:tmpl w:val="5C0004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4E41E5"/>
    <w:multiLevelType w:val="hybridMultilevel"/>
    <w:tmpl w:val="7B04AD92"/>
    <w:lvl w:ilvl="0" w:tplc="6A80359C">
      <w:start w:val="1"/>
      <w:numFmt w:val="bullet"/>
      <w:lvlText w:val="P"/>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F6FA0"/>
    <w:multiLevelType w:val="hybridMultilevel"/>
    <w:tmpl w:val="484CDD50"/>
    <w:lvl w:ilvl="0" w:tplc="8FBA67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54A6"/>
    <w:rsid w:val="000061F3"/>
    <w:rsid w:val="0001106C"/>
    <w:rsid w:val="00011C52"/>
    <w:rsid w:val="000178D5"/>
    <w:rsid w:val="00022022"/>
    <w:rsid w:val="000223DD"/>
    <w:rsid w:val="00030A59"/>
    <w:rsid w:val="00033671"/>
    <w:rsid w:val="000361C3"/>
    <w:rsid w:val="00040338"/>
    <w:rsid w:val="0004570F"/>
    <w:rsid w:val="00046D66"/>
    <w:rsid w:val="00047989"/>
    <w:rsid w:val="00050727"/>
    <w:rsid w:val="0005320C"/>
    <w:rsid w:val="00054CFA"/>
    <w:rsid w:val="00057F31"/>
    <w:rsid w:val="00062999"/>
    <w:rsid w:val="00077939"/>
    <w:rsid w:val="0008370A"/>
    <w:rsid w:val="000872C6"/>
    <w:rsid w:val="00087D99"/>
    <w:rsid w:val="0009579A"/>
    <w:rsid w:val="00095E85"/>
    <w:rsid w:val="000973DB"/>
    <w:rsid w:val="000A4676"/>
    <w:rsid w:val="000B2FA4"/>
    <w:rsid w:val="000B452C"/>
    <w:rsid w:val="000B69F6"/>
    <w:rsid w:val="000C420E"/>
    <w:rsid w:val="000E0F31"/>
    <w:rsid w:val="000E6D65"/>
    <w:rsid w:val="000F03CE"/>
    <w:rsid w:val="000F089A"/>
    <w:rsid w:val="00102155"/>
    <w:rsid w:val="00103C13"/>
    <w:rsid w:val="001110B4"/>
    <w:rsid w:val="00115FC4"/>
    <w:rsid w:val="001177EF"/>
    <w:rsid w:val="00121903"/>
    <w:rsid w:val="00124656"/>
    <w:rsid w:val="00133ECA"/>
    <w:rsid w:val="0014643C"/>
    <w:rsid w:val="00154A95"/>
    <w:rsid w:val="00157F4B"/>
    <w:rsid w:val="00161152"/>
    <w:rsid w:val="00181C9A"/>
    <w:rsid w:val="00182063"/>
    <w:rsid w:val="00182B68"/>
    <w:rsid w:val="00186DCB"/>
    <w:rsid w:val="0019243F"/>
    <w:rsid w:val="00195D0D"/>
    <w:rsid w:val="001A04FE"/>
    <w:rsid w:val="001B1305"/>
    <w:rsid w:val="001B6C0B"/>
    <w:rsid w:val="001C3014"/>
    <w:rsid w:val="001C4899"/>
    <w:rsid w:val="001C5371"/>
    <w:rsid w:val="001C730B"/>
    <w:rsid w:val="001D4E74"/>
    <w:rsid w:val="001D5187"/>
    <w:rsid w:val="001D6257"/>
    <w:rsid w:val="001D6C27"/>
    <w:rsid w:val="001E18F0"/>
    <w:rsid w:val="001E46E9"/>
    <w:rsid w:val="001F4B2B"/>
    <w:rsid w:val="001F7808"/>
    <w:rsid w:val="00202191"/>
    <w:rsid w:val="002041C3"/>
    <w:rsid w:val="00204FDA"/>
    <w:rsid w:val="00205673"/>
    <w:rsid w:val="0021013C"/>
    <w:rsid w:val="002130D5"/>
    <w:rsid w:val="002162FB"/>
    <w:rsid w:val="00222AC9"/>
    <w:rsid w:val="00223477"/>
    <w:rsid w:val="00224447"/>
    <w:rsid w:val="00224B63"/>
    <w:rsid w:val="00224E70"/>
    <w:rsid w:val="00225194"/>
    <w:rsid w:val="002255CF"/>
    <w:rsid w:val="00244EC9"/>
    <w:rsid w:val="002516B1"/>
    <w:rsid w:val="0025170E"/>
    <w:rsid w:val="00252F49"/>
    <w:rsid w:val="00256521"/>
    <w:rsid w:val="00266A71"/>
    <w:rsid w:val="002720CF"/>
    <w:rsid w:val="00272F22"/>
    <w:rsid w:val="00274EC0"/>
    <w:rsid w:val="0027558B"/>
    <w:rsid w:val="0028238A"/>
    <w:rsid w:val="00286159"/>
    <w:rsid w:val="0029054F"/>
    <w:rsid w:val="00293CD1"/>
    <w:rsid w:val="002A03E4"/>
    <w:rsid w:val="002A21CD"/>
    <w:rsid w:val="002A437B"/>
    <w:rsid w:val="002B132D"/>
    <w:rsid w:val="002B23B7"/>
    <w:rsid w:val="002B23DD"/>
    <w:rsid w:val="002B2B63"/>
    <w:rsid w:val="002B2CC4"/>
    <w:rsid w:val="002B4ADE"/>
    <w:rsid w:val="002C7893"/>
    <w:rsid w:val="002D0BA4"/>
    <w:rsid w:val="002D35CD"/>
    <w:rsid w:val="002D536D"/>
    <w:rsid w:val="002E3782"/>
    <w:rsid w:val="002F1801"/>
    <w:rsid w:val="002F1CBF"/>
    <w:rsid w:val="002F4F65"/>
    <w:rsid w:val="002F50FE"/>
    <w:rsid w:val="00304B06"/>
    <w:rsid w:val="00305C96"/>
    <w:rsid w:val="00325AF4"/>
    <w:rsid w:val="00336E96"/>
    <w:rsid w:val="00346EBD"/>
    <w:rsid w:val="00347ABA"/>
    <w:rsid w:val="00353720"/>
    <w:rsid w:val="003641E6"/>
    <w:rsid w:val="003743A6"/>
    <w:rsid w:val="00390A23"/>
    <w:rsid w:val="00396F04"/>
    <w:rsid w:val="003B34FC"/>
    <w:rsid w:val="003B5A1D"/>
    <w:rsid w:val="003B704D"/>
    <w:rsid w:val="003B7246"/>
    <w:rsid w:val="003C3E63"/>
    <w:rsid w:val="003D43CA"/>
    <w:rsid w:val="003D5752"/>
    <w:rsid w:val="003E673E"/>
    <w:rsid w:val="003F2433"/>
    <w:rsid w:val="0040182C"/>
    <w:rsid w:val="00407611"/>
    <w:rsid w:val="004100ED"/>
    <w:rsid w:val="00424617"/>
    <w:rsid w:val="00436EE6"/>
    <w:rsid w:val="00444367"/>
    <w:rsid w:val="004467E3"/>
    <w:rsid w:val="004621FD"/>
    <w:rsid w:val="0046788C"/>
    <w:rsid w:val="004747EA"/>
    <w:rsid w:val="00476F79"/>
    <w:rsid w:val="00481870"/>
    <w:rsid w:val="00483192"/>
    <w:rsid w:val="0048724A"/>
    <w:rsid w:val="00490D63"/>
    <w:rsid w:val="00492034"/>
    <w:rsid w:val="004937E1"/>
    <w:rsid w:val="004A361A"/>
    <w:rsid w:val="004B22C5"/>
    <w:rsid w:val="004C4D13"/>
    <w:rsid w:val="004C75A2"/>
    <w:rsid w:val="004D1137"/>
    <w:rsid w:val="004E5D5C"/>
    <w:rsid w:val="004E6C0D"/>
    <w:rsid w:val="004F5D04"/>
    <w:rsid w:val="004F6B7C"/>
    <w:rsid w:val="004F7DA3"/>
    <w:rsid w:val="005006CE"/>
    <w:rsid w:val="00504800"/>
    <w:rsid w:val="005123B0"/>
    <w:rsid w:val="00521C0A"/>
    <w:rsid w:val="00523A8F"/>
    <w:rsid w:val="005300C9"/>
    <w:rsid w:val="00537801"/>
    <w:rsid w:val="00545AFA"/>
    <w:rsid w:val="005534BE"/>
    <w:rsid w:val="00556087"/>
    <w:rsid w:val="005635ED"/>
    <w:rsid w:val="005677C5"/>
    <w:rsid w:val="00570668"/>
    <w:rsid w:val="00572F07"/>
    <w:rsid w:val="00590353"/>
    <w:rsid w:val="005A0FCF"/>
    <w:rsid w:val="005A1A72"/>
    <w:rsid w:val="005A5439"/>
    <w:rsid w:val="005B57DF"/>
    <w:rsid w:val="005B6EA7"/>
    <w:rsid w:val="005C1707"/>
    <w:rsid w:val="005C1E6B"/>
    <w:rsid w:val="005C44F4"/>
    <w:rsid w:val="005D0FA0"/>
    <w:rsid w:val="005E1466"/>
    <w:rsid w:val="005F6E35"/>
    <w:rsid w:val="006075DF"/>
    <w:rsid w:val="00612062"/>
    <w:rsid w:val="00614465"/>
    <w:rsid w:val="006168F2"/>
    <w:rsid w:val="00622AE1"/>
    <w:rsid w:val="0062412C"/>
    <w:rsid w:val="00626B30"/>
    <w:rsid w:val="00631EA9"/>
    <w:rsid w:val="0064119E"/>
    <w:rsid w:val="00644384"/>
    <w:rsid w:val="00645B87"/>
    <w:rsid w:val="0064639F"/>
    <w:rsid w:val="00652490"/>
    <w:rsid w:val="006547EE"/>
    <w:rsid w:val="00674977"/>
    <w:rsid w:val="00681871"/>
    <w:rsid w:val="00685014"/>
    <w:rsid w:val="0068624B"/>
    <w:rsid w:val="00693CDD"/>
    <w:rsid w:val="006952F5"/>
    <w:rsid w:val="00696C0F"/>
    <w:rsid w:val="006A08AC"/>
    <w:rsid w:val="006A71F2"/>
    <w:rsid w:val="006B0DD0"/>
    <w:rsid w:val="006B3EF9"/>
    <w:rsid w:val="006B6BC3"/>
    <w:rsid w:val="006D087B"/>
    <w:rsid w:val="006D23CC"/>
    <w:rsid w:val="006D34B7"/>
    <w:rsid w:val="006D3B0E"/>
    <w:rsid w:val="006D602A"/>
    <w:rsid w:val="006E3E2C"/>
    <w:rsid w:val="006E4A42"/>
    <w:rsid w:val="006E77EF"/>
    <w:rsid w:val="00707B38"/>
    <w:rsid w:val="00710FE2"/>
    <w:rsid w:val="00722A8A"/>
    <w:rsid w:val="007245C7"/>
    <w:rsid w:val="007277DF"/>
    <w:rsid w:val="007320FF"/>
    <w:rsid w:val="007358B5"/>
    <w:rsid w:val="007358D0"/>
    <w:rsid w:val="00737A22"/>
    <w:rsid w:val="00740C13"/>
    <w:rsid w:val="00760AE2"/>
    <w:rsid w:val="00763CE0"/>
    <w:rsid w:val="00774A1A"/>
    <w:rsid w:val="00780613"/>
    <w:rsid w:val="0078096D"/>
    <w:rsid w:val="00780D15"/>
    <w:rsid w:val="00781C27"/>
    <w:rsid w:val="00784488"/>
    <w:rsid w:val="00787E4C"/>
    <w:rsid w:val="00792425"/>
    <w:rsid w:val="007A0156"/>
    <w:rsid w:val="007A0C73"/>
    <w:rsid w:val="007A62B1"/>
    <w:rsid w:val="007A779E"/>
    <w:rsid w:val="007B6C67"/>
    <w:rsid w:val="007B777C"/>
    <w:rsid w:val="007B7EBB"/>
    <w:rsid w:val="007C36FC"/>
    <w:rsid w:val="007C6655"/>
    <w:rsid w:val="007D229F"/>
    <w:rsid w:val="007E3A33"/>
    <w:rsid w:val="007F2B23"/>
    <w:rsid w:val="007F3C6F"/>
    <w:rsid w:val="00800965"/>
    <w:rsid w:val="00812776"/>
    <w:rsid w:val="0081765C"/>
    <w:rsid w:val="00823582"/>
    <w:rsid w:val="00825BD8"/>
    <w:rsid w:val="00830697"/>
    <w:rsid w:val="008364FB"/>
    <w:rsid w:val="00843112"/>
    <w:rsid w:val="00843AD4"/>
    <w:rsid w:val="00847BF0"/>
    <w:rsid w:val="0085194A"/>
    <w:rsid w:val="00856EE2"/>
    <w:rsid w:val="0087088C"/>
    <w:rsid w:val="00880927"/>
    <w:rsid w:val="00883F2A"/>
    <w:rsid w:val="00885F24"/>
    <w:rsid w:val="00894E65"/>
    <w:rsid w:val="008A3376"/>
    <w:rsid w:val="008A362E"/>
    <w:rsid w:val="008A43A0"/>
    <w:rsid w:val="008B1FF2"/>
    <w:rsid w:val="008B246D"/>
    <w:rsid w:val="008B6146"/>
    <w:rsid w:val="008C3C0E"/>
    <w:rsid w:val="008C407D"/>
    <w:rsid w:val="008D1BB4"/>
    <w:rsid w:val="008D1E2E"/>
    <w:rsid w:val="008E114B"/>
    <w:rsid w:val="008E43E7"/>
    <w:rsid w:val="008E56F4"/>
    <w:rsid w:val="008E772B"/>
    <w:rsid w:val="008F0811"/>
    <w:rsid w:val="008F5D18"/>
    <w:rsid w:val="008F5E6E"/>
    <w:rsid w:val="00900E72"/>
    <w:rsid w:val="0090587E"/>
    <w:rsid w:val="00910625"/>
    <w:rsid w:val="00920FFB"/>
    <w:rsid w:val="0092122E"/>
    <w:rsid w:val="0092465C"/>
    <w:rsid w:val="00925EF7"/>
    <w:rsid w:val="009266E2"/>
    <w:rsid w:val="00943AFF"/>
    <w:rsid w:val="009537CC"/>
    <w:rsid w:val="00961B13"/>
    <w:rsid w:val="00964D79"/>
    <w:rsid w:val="0097157F"/>
    <w:rsid w:val="00975BB7"/>
    <w:rsid w:val="009872BE"/>
    <w:rsid w:val="0099470D"/>
    <w:rsid w:val="009A0FC0"/>
    <w:rsid w:val="009A2577"/>
    <w:rsid w:val="009A3D2E"/>
    <w:rsid w:val="009A51E3"/>
    <w:rsid w:val="009A5D35"/>
    <w:rsid w:val="009B16AB"/>
    <w:rsid w:val="009B541E"/>
    <w:rsid w:val="009C4EFC"/>
    <w:rsid w:val="009C67C6"/>
    <w:rsid w:val="009C7092"/>
    <w:rsid w:val="009E039D"/>
    <w:rsid w:val="009E13EA"/>
    <w:rsid w:val="009E3B9B"/>
    <w:rsid w:val="009E5759"/>
    <w:rsid w:val="009E5BA9"/>
    <w:rsid w:val="00A045D5"/>
    <w:rsid w:val="00A04E54"/>
    <w:rsid w:val="00A06E07"/>
    <w:rsid w:val="00A11350"/>
    <w:rsid w:val="00A151A6"/>
    <w:rsid w:val="00A1533D"/>
    <w:rsid w:val="00A15EF4"/>
    <w:rsid w:val="00A20808"/>
    <w:rsid w:val="00A23CEE"/>
    <w:rsid w:val="00A2458B"/>
    <w:rsid w:val="00A251CF"/>
    <w:rsid w:val="00A27726"/>
    <w:rsid w:val="00A3429A"/>
    <w:rsid w:val="00A421F1"/>
    <w:rsid w:val="00A50405"/>
    <w:rsid w:val="00A52FC9"/>
    <w:rsid w:val="00A540CD"/>
    <w:rsid w:val="00A544A5"/>
    <w:rsid w:val="00A6077D"/>
    <w:rsid w:val="00A627A3"/>
    <w:rsid w:val="00A65861"/>
    <w:rsid w:val="00A7411E"/>
    <w:rsid w:val="00A74716"/>
    <w:rsid w:val="00A764C1"/>
    <w:rsid w:val="00A8001D"/>
    <w:rsid w:val="00A83F16"/>
    <w:rsid w:val="00A92B0D"/>
    <w:rsid w:val="00A94A3D"/>
    <w:rsid w:val="00A9791F"/>
    <w:rsid w:val="00AA1CC6"/>
    <w:rsid w:val="00AB3D46"/>
    <w:rsid w:val="00AB5972"/>
    <w:rsid w:val="00AB79C7"/>
    <w:rsid w:val="00AC07E1"/>
    <w:rsid w:val="00AD6B95"/>
    <w:rsid w:val="00AE42E7"/>
    <w:rsid w:val="00AE4F9B"/>
    <w:rsid w:val="00AE50D9"/>
    <w:rsid w:val="00AE76D4"/>
    <w:rsid w:val="00AF0AC5"/>
    <w:rsid w:val="00AF15C1"/>
    <w:rsid w:val="00AF1B9C"/>
    <w:rsid w:val="00B14F31"/>
    <w:rsid w:val="00B2475F"/>
    <w:rsid w:val="00B27370"/>
    <w:rsid w:val="00B464F8"/>
    <w:rsid w:val="00B56D37"/>
    <w:rsid w:val="00B608CF"/>
    <w:rsid w:val="00B6113C"/>
    <w:rsid w:val="00B62743"/>
    <w:rsid w:val="00B638A6"/>
    <w:rsid w:val="00B731C5"/>
    <w:rsid w:val="00B7565F"/>
    <w:rsid w:val="00B76413"/>
    <w:rsid w:val="00B77D4B"/>
    <w:rsid w:val="00B81C5F"/>
    <w:rsid w:val="00B85109"/>
    <w:rsid w:val="00B91955"/>
    <w:rsid w:val="00B93478"/>
    <w:rsid w:val="00BA213C"/>
    <w:rsid w:val="00BA3B36"/>
    <w:rsid w:val="00BA6EC1"/>
    <w:rsid w:val="00BC2BBB"/>
    <w:rsid w:val="00BC4059"/>
    <w:rsid w:val="00BD16C9"/>
    <w:rsid w:val="00BD2C59"/>
    <w:rsid w:val="00BD5F77"/>
    <w:rsid w:val="00BD656F"/>
    <w:rsid w:val="00BD6E61"/>
    <w:rsid w:val="00C0583B"/>
    <w:rsid w:val="00C12F1E"/>
    <w:rsid w:val="00C159DF"/>
    <w:rsid w:val="00C21179"/>
    <w:rsid w:val="00C215CE"/>
    <w:rsid w:val="00C23A35"/>
    <w:rsid w:val="00C57A92"/>
    <w:rsid w:val="00C61098"/>
    <w:rsid w:val="00C62436"/>
    <w:rsid w:val="00C66CE4"/>
    <w:rsid w:val="00C7464C"/>
    <w:rsid w:val="00C76584"/>
    <w:rsid w:val="00C801C6"/>
    <w:rsid w:val="00C85BC4"/>
    <w:rsid w:val="00C95F0E"/>
    <w:rsid w:val="00C97282"/>
    <w:rsid w:val="00CA6DC5"/>
    <w:rsid w:val="00CB0147"/>
    <w:rsid w:val="00CB0566"/>
    <w:rsid w:val="00CB0730"/>
    <w:rsid w:val="00CB3E2A"/>
    <w:rsid w:val="00CB4A00"/>
    <w:rsid w:val="00CC14C5"/>
    <w:rsid w:val="00CC49D7"/>
    <w:rsid w:val="00CC7598"/>
    <w:rsid w:val="00CD0B94"/>
    <w:rsid w:val="00CD25B5"/>
    <w:rsid w:val="00CE59DF"/>
    <w:rsid w:val="00CE6DFA"/>
    <w:rsid w:val="00CF4624"/>
    <w:rsid w:val="00CF49B4"/>
    <w:rsid w:val="00CF4FE5"/>
    <w:rsid w:val="00CF60EB"/>
    <w:rsid w:val="00CF797E"/>
    <w:rsid w:val="00D017F9"/>
    <w:rsid w:val="00D11A0D"/>
    <w:rsid w:val="00D20FC8"/>
    <w:rsid w:val="00D45760"/>
    <w:rsid w:val="00D47F5C"/>
    <w:rsid w:val="00D510E8"/>
    <w:rsid w:val="00D53AE2"/>
    <w:rsid w:val="00D54FCA"/>
    <w:rsid w:val="00D60026"/>
    <w:rsid w:val="00D602B5"/>
    <w:rsid w:val="00D64BA2"/>
    <w:rsid w:val="00D708F2"/>
    <w:rsid w:val="00D7138E"/>
    <w:rsid w:val="00D72812"/>
    <w:rsid w:val="00D84797"/>
    <w:rsid w:val="00D869C9"/>
    <w:rsid w:val="00D91B77"/>
    <w:rsid w:val="00D930A1"/>
    <w:rsid w:val="00D97BF6"/>
    <w:rsid w:val="00DA010B"/>
    <w:rsid w:val="00DA64C0"/>
    <w:rsid w:val="00DB5C06"/>
    <w:rsid w:val="00DD176E"/>
    <w:rsid w:val="00DD2E53"/>
    <w:rsid w:val="00DD40A2"/>
    <w:rsid w:val="00DD73DE"/>
    <w:rsid w:val="00DE08F6"/>
    <w:rsid w:val="00DE33A6"/>
    <w:rsid w:val="00DF1B0D"/>
    <w:rsid w:val="00DF1F1C"/>
    <w:rsid w:val="00E0070D"/>
    <w:rsid w:val="00E05736"/>
    <w:rsid w:val="00E10A86"/>
    <w:rsid w:val="00E2565C"/>
    <w:rsid w:val="00E25F52"/>
    <w:rsid w:val="00E27CA2"/>
    <w:rsid w:val="00E33222"/>
    <w:rsid w:val="00E406FA"/>
    <w:rsid w:val="00E41C78"/>
    <w:rsid w:val="00E45552"/>
    <w:rsid w:val="00E54FA6"/>
    <w:rsid w:val="00E556E6"/>
    <w:rsid w:val="00E71516"/>
    <w:rsid w:val="00E7761A"/>
    <w:rsid w:val="00E85557"/>
    <w:rsid w:val="00E866CA"/>
    <w:rsid w:val="00E868F6"/>
    <w:rsid w:val="00E87225"/>
    <w:rsid w:val="00E9021B"/>
    <w:rsid w:val="00E911F6"/>
    <w:rsid w:val="00EA0403"/>
    <w:rsid w:val="00EA6B3A"/>
    <w:rsid w:val="00EB24BF"/>
    <w:rsid w:val="00EB4D2A"/>
    <w:rsid w:val="00EB58E3"/>
    <w:rsid w:val="00EC0E19"/>
    <w:rsid w:val="00ED5F67"/>
    <w:rsid w:val="00EE3010"/>
    <w:rsid w:val="00F14A6B"/>
    <w:rsid w:val="00F16B98"/>
    <w:rsid w:val="00F419AD"/>
    <w:rsid w:val="00F43FDC"/>
    <w:rsid w:val="00F44AB6"/>
    <w:rsid w:val="00F476C0"/>
    <w:rsid w:val="00F51FC6"/>
    <w:rsid w:val="00F537BE"/>
    <w:rsid w:val="00F60880"/>
    <w:rsid w:val="00F6334C"/>
    <w:rsid w:val="00F64387"/>
    <w:rsid w:val="00F7607F"/>
    <w:rsid w:val="00F7638E"/>
    <w:rsid w:val="00F766C2"/>
    <w:rsid w:val="00F84A23"/>
    <w:rsid w:val="00F8658C"/>
    <w:rsid w:val="00F94A4D"/>
    <w:rsid w:val="00FA175A"/>
    <w:rsid w:val="00FA286A"/>
    <w:rsid w:val="00FA309E"/>
    <w:rsid w:val="00FA5C92"/>
    <w:rsid w:val="00FC2C95"/>
    <w:rsid w:val="00FC4128"/>
    <w:rsid w:val="00FC4340"/>
    <w:rsid w:val="00FE1B98"/>
    <w:rsid w:val="00FF4B0C"/>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paragraph" w:customStyle="1" w:styleId="Title1">
    <w:name w:val="Title1"/>
    <w:basedOn w:val="Normal"/>
    <w:next w:val="Normal"/>
    <w:uiPriority w:val="10"/>
    <w:qFormat/>
    <w:rsid w:val="00763CE0"/>
    <w:pPr>
      <w:spacing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763CE0"/>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763CE0"/>
    <w:pPr>
      <w:spacing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763CE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82063"/>
    <w:rPr>
      <w:sz w:val="16"/>
      <w:szCs w:val="16"/>
    </w:rPr>
  </w:style>
  <w:style w:type="paragraph" w:styleId="CommentSubject">
    <w:name w:val="annotation subject"/>
    <w:basedOn w:val="CommentText"/>
    <w:next w:val="CommentText"/>
    <w:link w:val="CommentSubjectChar"/>
    <w:uiPriority w:val="99"/>
    <w:semiHidden/>
    <w:unhideWhenUsed/>
    <w:rsid w:val="00182063"/>
    <w:rPr>
      <w:b/>
      <w:bCs/>
    </w:rPr>
  </w:style>
  <w:style w:type="character" w:customStyle="1" w:styleId="CommentSubjectChar">
    <w:name w:val="Comment Subject Char"/>
    <w:basedOn w:val="CommentTextChar"/>
    <w:link w:val="CommentSubject"/>
    <w:uiPriority w:val="99"/>
    <w:semiHidden/>
    <w:rsid w:val="00182063"/>
    <w:rPr>
      <w:rFonts w:ascii="Arial" w:hAnsi="Arial"/>
      <w:b/>
      <w:bCs/>
      <w:sz w:val="20"/>
      <w:szCs w:val="20"/>
    </w:rPr>
  </w:style>
  <w:style w:type="table" w:styleId="GridTable1Light-Accent2">
    <w:name w:val="Grid Table 1 Light Accent 2"/>
    <w:basedOn w:val="TableNormal"/>
    <w:uiPriority w:val="46"/>
    <w:rsid w:val="000B2FA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FA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FA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FA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12932238">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397090420">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19766802">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21506908">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26967029">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psc-manual" TargetMode="External"/><Relationship Id="rId13" Type="http://schemas.openxmlformats.org/officeDocument/2006/relationships/hyperlink" Target="https://www.fpds.gov/downloads/Version_1.5_specs/FPDS_DataDictionary_V1.5.pdf"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hyperlink" Target="mailto:Jesse.Lee2@nih.gov" TargetMode="External"/><Relationship Id="rId3" Type="http://schemas.openxmlformats.org/officeDocument/2006/relationships/styles" Target="styles.xml"/><Relationship Id="rId21" Type="http://schemas.openxmlformats.org/officeDocument/2006/relationships/hyperlink" Target="https://support.microsoft.com/en-us/office/customize-or-create-new-styles-d38d6e47-f6fc-48eb-a607-1eb120dec563" TargetMode="External"/><Relationship Id="rId34" Type="http://schemas.openxmlformats.org/officeDocument/2006/relationships/hyperlink" Target="http://www.fai.gov/" TargetMode="External"/><Relationship Id="rId42" Type="http://schemas.openxmlformats.org/officeDocument/2006/relationships/hyperlink" Target="mailto:OALMnewsletter@mail.nih.gov" TargetMode="External"/><Relationship Id="rId7" Type="http://schemas.openxmlformats.org/officeDocument/2006/relationships/endnotes" Target="endnotes.xml"/><Relationship Id="rId12" Type="http://schemas.openxmlformats.org/officeDocument/2006/relationships/hyperlink" Target="mailto:vendorreport@feddatacheck.net" TargetMode="External"/><Relationship Id="rId17" Type="http://schemas.openxmlformats.org/officeDocument/2006/relationships/hyperlink" Target="https://www.youtube.com/watch?v=Fmp0jexRTRY" TargetMode="External"/><Relationship Id="rId25" Type="http://schemas.openxmlformats.org/officeDocument/2006/relationships/hyperlink" Target="https://gcc02.safelinks.protection.outlook.com/?url=https%3A%2F%2Flms.learning.hhs.gov%2F&amp;data=05%7C01%7Cdee.dansby%40nih.gov%7Cad19f0f03b1a421099e808da95b43297%7C14b77578977342d58507251ca2dc2b06%7C0%7C0%7C637986898439149364%7CUnknown%7CTWFpbGZsb3d8eyJWIjoiMC4wLjAwMDAiLCJQIjoiV2luMzIiLCJBTiI6Ik1haWwiLCJXVCI6Mn0%3D%7C3000%7C%7C%7C&amp;sdata=IwQDobkZ91diiBM5IRS2JJaVrH%2BUt%2BzRMIiG9yKibzY%3D&amp;reserved=0" TargetMode="External"/><Relationship Id="rId33" Type="http://schemas.openxmlformats.org/officeDocument/2006/relationships/hyperlink" Target="https://hr.nih.gov/training-center/course-catalog/acquisitions-management" TargetMode="External"/><Relationship Id="rId38" Type="http://schemas.openxmlformats.org/officeDocument/2006/relationships/hyperlink" Target="mailto:ambrosea@od.nih.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register.gov/documents/2022/03/07/2022-04173/federal-acquisition-regulation-amendments-to-the-far-buy-american-act-requirements" TargetMode="External"/><Relationship Id="rId20" Type="http://schemas.openxmlformats.org/officeDocument/2006/relationships/image" Target="media/image6.png"/><Relationship Id="rId29" Type="http://schemas.openxmlformats.org/officeDocument/2006/relationships/hyperlink" Target="https://gcc02.safelinks.protection.outlook.com/?url=https%3A%2F%2Fcommunity.max.gov%2Fdisplay%2FHHS%2FHHS%2BOAP%2BPolicy%2BFlashes&amp;data=05%7C01%7Cambrosea%40od.nih.gov%7C096a65e849a443a601b908da7fb93357%7C14b77578977342d58507251ca2dc2b06%7C0%7C0%7C637962730643192304%7CUnknown%7CTWFpbGZsb3d8eyJWIjoiMC4wLjAwMDAiLCJQIjoiV2luMzIiLCJBTiI6Ik1haWwiLCJXVCI6Mn0%3D%7C3000%7C%7C%7C&amp;sdata=5q1W%2FZdqmiKyhgDX7AvC5jgRD3WqR8XpjOA7xBSkMks%3D&amp;reserved=0" TargetMode="External"/><Relationship Id="rId41" Type="http://schemas.openxmlformats.org/officeDocument/2006/relationships/hyperlink" Target="mailto:McDermottMl@o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NIHSC-CustomerService@od.nih.gov" TargetMode="External"/><Relationship Id="rId32" Type="http://schemas.openxmlformats.org/officeDocument/2006/relationships/hyperlink" Target="https://hr.nih.gov/training-center/course-catalog/acquisitions-management" TargetMode="External"/><Relationship Id="rId37" Type="http://schemas.openxmlformats.org/officeDocument/2006/relationships/hyperlink" Target="http://oalm.od.nih.gov/GreenPurchasingForWebsite" TargetMode="External"/><Relationship Id="rId40" Type="http://schemas.openxmlformats.org/officeDocument/2006/relationships/hyperlink" Target="mailto:luke.makenzie@nih.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deralregister.gov/documents/2021/01/28/2021-02038/ensuring-the-future-is-made-in-all-of-america-by-all-of-americas-workers" TargetMode="External"/><Relationship Id="rId23" Type="http://schemas.openxmlformats.org/officeDocument/2006/relationships/image" Target="media/image7.png"/><Relationship Id="rId28" Type="http://schemas.openxmlformats.org/officeDocument/2006/relationships/hyperlink" Target="https://oalmsps.od.nih.gov/DDO/CDMP/SitePages/OALM%20Communications.aspx" TargetMode="External"/><Relationship Id="rId36" Type="http://schemas.openxmlformats.org/officeDocument/2006/relationships/hyperlink" Target="http://training.cit.nih.gov/list.aspx?catId=14"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mailto:simplifiedacquisitionhelp@od.nih.go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almsps.od.nih.gov/DDO/CDMP/FDCResolutions/SitePages/Home.aspx" TargetMode="External"/><Relationship Id="rId22" Type="http://schemas.openxmlformats.org/officeDocument/2006/relationships/hyperlink" Target="https://support.microsoft.com/en-us/office/use-the-navigation-pane-in-word-394787be-bca7-459b-894e-3f8511515e55" TargetMode="External"/><Relationship Id="rId27" Type="http://schemas.openxmlformats.org/officeDocument/2006/relationships/image" Target="cid:image001.png@01D8C77A.39FE3C10" TargetMode="External"/><Relationship Id="rId30" Type="http://schemas.openxmlformats.org/officeDocument/2006/relationships/hyperlink" Target="https://www.cdc.gov/coronavirus/2019-ncov/science/community-levels.html" TargetMode="External"/><Relationship Id="rId35" Type="http://schemas.openxmlformats.org/officeDocument/2006/relationships/hyperlink" Target="https://www.dau.edu/trainin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OALM 3rd Quarter 2022 Newsletter</vt:lpstr>
    </vt:vector>
  </TitlesOfParts>
  <Company>NIH/OD</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3rd Quarter 2022 Newsletter</dc:title>
  <dc:subject/>
  <dc:creator>NIH/OD/OALM/OAMP/DSAPS</dc:creator>
  <cp:keywords>OALM 3rd Quarter 2022 Newsetter</cp:keywords>
  <dc:description>OALM 3rd Quarter 2022 Newsletter</dc:description>
  <cp:lastModifiedBy>Ambrose, Alan (NIH/OD) [E]</cp:lastModifiedBy>
  <cp:revision>4</cp:revision>
  <cp:lastPrinted>2020-01-16T21:00:00Z</cp:lastPrinted>
  <dcterms:created xsi:type="dcterms:W3CDTF">2022-11-01T16:50:00Z</dcterms:created>
  <dcterms:modified xsi:type="dcterms:W3CDTF">2022-11-01T17:02:00Z</dcterms:modified>
</cp:coreProperties>
</file>